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6" w:lineRule="exact"/>
        <w:jc w:val="both"/>
        <w:textAlignment w:val="auto"/>
        <w:rPr>
          <w:rFonts w:ascii="Times New Roman" w:eastAsia="仿宋_GB2312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>附件</w:t>
      </w:r>
      <w:r>
        <w:rPr>
          <w:rFonts w:ascii="Times New Roman" w:eastAsia="仿宋_GB2312" w:hAnsi="Times New Roman" w:cs="Times New Roman" w:hint="default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6" w:lineRule="exact"/>
        <w:jc w:val="center"/>
        <w:textAlignment w:val="auto"/>
        <w:rPr>
          <w:rFonts w:ascii="方正小标宋_GBK" w:eastAsia="方正小标宋_GBK" w:hAnsi="方正小标宋_GBK" w:cs="方正小标宋_GBK" w:hint="eastAsia"/>
          <w:spacing w:val="16"/>
          <w:sz w:val="44"/>
          <w:szCs w:val="44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spacing w:val="16"/>
          <w:sz w:val="44"/>
          <w:szCs w:val="44"/>
          <w:lang w:val="en-US" w:eastAsia="zh-CN"/>
        </w:rPr>
        <w:t>桂林电子科技大学教育工作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6" w:lineRule="exact"/>
        <w:jc w:val="center"/>
        <w:textAlignment w:val="auto"/>
        <w:rPr>
          <w:rFonts w:ascii="方正小标宋_GBK" w:eastAsia="方正小标宋_GBK" w:hAnsi="方正小标宋_GBK" w:cs="方正小标宋_GBK" w:hint="eastAsia"/>
          <w:spacing w:val="16"/>
          <w:sz w:val="44"/>
          <w:szCs w:val="44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spacing w:val="16"/>
          <w:sz w:val="44"/>
          <w:szCs w:val="44"/>
        </w:rPr>
        <w:t>先进集体</w:t>
      </w:r>
      <w:r>
        <w:rPr>
          <w:rFonts w:ascii="方正小标宋_GBK" w:eastAsia="方正小标宋_GBK" w:hAnsi="方正小标宋_GBK" w:cs="方正小标宋_GBK" w:hint="eastAsia"/>
          <w:spacing w:val="16"/>
          <w:sz w:val="44"/>
          <w:szCs w:val="44"/>
          <w:lang w:eastAsia="zh-CN"/>
        </w:rPr>
        <w:t>、</w:t>
      </w:r>
      <w:r>
        <w:rPr>
          <w:rFonts w:ascii="方正小标宋_GBK" w:eastAsia="方正小标宋_GBK" w:hAnsi="方正小标宋_GBK" w:cs="方正小标宋_GBK" w:hint="eastAsia"/>
          <w:spacing w:val="16"/>
          <w:sz w:val="44"/>
          <w:szCs w:val="44"/>
          <w:lang w:val="en-US" w:eastAsia="zh-CN"/>
        </w:rPr>
        <w:t>优秀教师和</w:t>
      </w: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pacing w:val="16"/>
          <w:sz w:val="44"/>
          <w:szCs w:val="44"/>
          <w:lang w:val="en-US" w:eastAsia="zh-CN"/>
        </w:rPr>
        <w:t>先进教育工作者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6" w:lineRule="exact"/>
        <w:jc w:val="center"/>
        <w:textAlignment w:val="auto"/>
        <w:rPr>
          <w:rFonts w:ascii="方正小标宋_GBK" w:eastAsia="方正小标宋_GBK" w:hAnsi="方正小标宋_GBK" w:cs="方正小标宋_GBK" w:hint="eastAsia"/>
          <w:spacing w:val="16"/>
          <w:sz w:val="44"/>
          <w:szCs w:val="44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spacing w:val="16"/>
          <w:sz w:val="44"/>
          <w:szCs w:val="44"/>
          <w:lang w:val="en-US" w:eastAsia="zh-CN"/>
        </w:rPr>
        <w:t>推荐名额分配表</w:t>
      </w:r>
    </w:p>
    <w:tbl>
      <w:tblPr>
        <w:tblStyle w:val="TableNormal"/>
        <w:tblpPr w:leftFromText="180" w:rightFromText="180" w:vertAnchor="text" w:horzAnchor="page" w:tblpXSpec="center" w:tblpY="254"/>
        <w:tblOverlap w:val="never"/>
        <w:tblW w:w="4656" w:type="pct"/>
        <w:tblInd w:w="7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656"/>
        <w:gridCol w:w="1500"/>
        <w:gridCol w:w="1355"/>
        <w:gridCol w:w="1785"/>
      </w:tblGrid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/>
          <w:tblHeader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</w:rPr>
              <w:t>二级</w:t>
            </w: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教育工作</w:t>
            </w:r>
          </w:p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先进集体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优秀教师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先进教育</w:t>
            </w:r>
          </w:p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工作者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41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机电工程学院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8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信息与通信学院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60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计算机与信息安全学院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01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艺术与设计学院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8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数学与计算科学学院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电子工程与自动化学院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46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材料科学与工程学院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生命与环境科学学院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建筑与交通工程学院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04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光电工程学院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北海校区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南宁研究院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图书馆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0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离退休工作处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highlight w:val="none"/>
              </w:rPr>
              <w:t>机关</w:t>
            </w: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各职能部门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</w:tr>
      <w:tr>
        <w:tblPrEx>
          <w:tblW w:w="4656" w:type="pct"/>
          <w:tblInd w:w="77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20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4"/>
                <w:szCs w:val="24"/>
                <w:lang w:val="en-US" w:eastAsia="zh-CN"/>
              </w:rPr>
              <w:t>46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仿宋_GB2312" w:hAnsi="Times New Roman" w:cs="Times New Roman" w:hint="default"/>
          <w:kern w:val="2"/>
          <w:sz w:val="24"/>
          <w:szCs w:val="24"/>
          <w:lang w:val="en-US" w:eastAsia="zh-CN" w:bidi="ar-SA"/>
        </w:rPr>
        <w:t>1.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各部门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的“双肩挑”教师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推荐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评选优秀教师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，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纳入本人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校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聘岗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位所在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学院。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仿宋_GB2312" w:hAnsi="Times New Roman" w:cs="Times New Roman" w:hint="default"/>
          <w:kern w:val="2"/>
          <w:sz w:val="24"/>
          <w:szCs w:val="24"/>
          <w:lang w:val="en-US" w:eastAsia="zh-CN" w:bidi="ar-SA"/>
        </w:rPr>
        <w:t>2.</w:t>
      </w:r>
      <w:r>
        <w:rPr>
          <w:rFonts w:ascii="Times New Roman" w:eastAsia="仿宋_GB2312" w:hAnsi="Times New Roman" w:cs="Times New Roman" w:hint="default"/>
          <w:sz w:val="24"/>
          <w:szCs w:val="24"/>
          <w:lang w:val="en-US" w:eastAsia="zh-CN"/>
        </w:rPr>
        <w:t>机关各职能部门均可推荐教育工作先进集体1个、先进教育工作者1名。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光隶书_CNKI">
    <w:panose1 w:val="02000500000000000000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mZjUxOTdhNjFlMTk2MmFhYmY3Y2UyMWI1MjdmN2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376</Characters>
  <Application>Microsoft Office Word</Application>
  <DocSecurity>0</DocSecurity>
  <Lines>0</Lines>
  <Paragraphs>0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刘暖暖</dc:creator>
  <cp:lastModifiedBy>曾妍</cp:lastModifiedBy>
  <cp:revision>0</cp:revision>
  <dcterms:created xsi:type="dcterms:W3CDTF">2024-07-15T03:34:00Z</dcterms:created>
  <dcterms:modified xsi:type="dcterms:W3CDTF">2024-07-15T14:21:04Z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AEFCE77B037E4C969213E5C9A50A87F9_12</vt:lpwstr>
  </property>
  <property fmtid="{D5CDD505-2E9C-101B-9397-08002B2CF9AE}" pid="3" name="KSOProductBuildVer">
    <vt:lpwstr>2052-12.1.0.17147</vt:lpwstr>
  </property>
</Properties>
</file>