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52DC4">
      <w:pPr>
        <w:pStyle w:val="4"/>
        <w:shd w:val="clear" w:color="auto" w:fill="FFFFFF"/>
        <w:spacing w:before="0" w:beforeAutospacing="0" w:after="0" w:afterAutospacing="0" w:line="360" w:lineRule="auto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 w:cs="Arial"/>
          <w:bCs/>
          <w:sz w:val="32"/>
          <w:szCs w:val="32"/>
        </w:rPr>
        <w:t>附件</w:t>
      </w:r>
      <w:r>
        <w:rPr>
          <w:rFonts w:hint="eastAsia" w:ascii="黑体" w:hAnsi="黑体" w:eastAsia="黑体" w:cs="Arial"/>
          <w:bCs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Arial"/>
          <w:bCs/>
          <w:sz w:val="32"/>
          <w:szCs w:val="32"/>
        </w:rPr>
        <w:t>：</w:t>
      </w:r>
    </w:p>
    <w:p w14:paraId="0929A993">
      <w:pPr>
        <w:autoSpaceDE w:val="0"/>
        <w:autoSpaceDN w:val="0"/>
        <w:jc w:val="center"/>
        <w:rPr>
          <w:rFonts w:ascii="黑体" w:hAnsi="黑体" w:eastAsia="黑体" w:cs="ETAFFC+FZXBSK--GBK1-0"/>
          <w:color w:val="000000"/>
          <w:sz w:val="32"/>
          <w:szCs w:val="32"/>
        </w:rPr>
      </w:pPr>
      <w:r>
        <w:rPr>
          <w:rFonts w:ascii="黑体" w:hAnsi="黑体" w:eastAsia="黑体" w:cs="ETAFFC+FZXBSK--GBK1-0"/>
          <w:color w:val="000000"/>
          <w:spacing w:val="-1"/>
          <w:sz w:val="32"/>
          <w:szCs w:val="32"/>
        </w:rPr>
        <w:t>桂林电子科技大学</w:t>
      </w:r>
      <w:r>
        <w:rPr>
          <w:rFonts w:ascii="黑体" w:hAnsi="黑体" w:eastAsia="黑体" w:cs="ETAFFC+FZXBSK--GBK1-0"/>
          <w:color w:val="000000"/>
          <w:sz w:val="32"/>
          <w:szCs w:val="32"/>
        </w:rPr>
        <w:t>第</w:t>
      </w:r>
      <w:r>
        <w:rPr>
          <w:rFonts w:hint="eastAsia" w:ascii="黑体" w:hAnsi="黑体" w:eastAsia="黑体" w:cs="ETAFFC+FZXBSK--GBK1-0"/>
          <w:color w:val="000000"/>
          <w:sz w:val="32"/>
          <w:szCs w:val="32"/>
        </w:rPr>
        <w:t>二十</w:t>
      </w:r>
      <w:r>
        <w:rPr>
          <w:rFonts w:hint="eastAsia" w:ascii="黑体" w:hAnsi="黑体" w:eastAsia="黑体" w:cs="ETAFFC+FZXBSK--GBK1-0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ETAFFC+FZXBSK--GBK1-0"/>
          <w:color w:val="000000"/>
          <w:sz w:val="32"/>
          <w:szCs w:val="32"/>
        </w:rPr>
        <w:t>届</w:t>
      </w:r>
      <w:r>
        <w:rPr>
          <w:rFonts w:ascii="黑体" w:hAnsi="黑体" w:eastAsia="黑体" w:cs="ETAFFC+FZXBSK--GBK1-0"/>
          <w:color w:val="000000"/>
          <w:sz w:val="32"/>
          <w:szCs w:val="32"/>
        </w:rPr>
        <w:t>大学生数学建模竞赛</w:t>
      </w:r>
    </w:p>
    <w:p w14:paraId="1E5B1923">
      <w:pPr>
        <w:autoSpaceDE w:val="0"/>
        <w:autoSpaceDN w:val="0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 w:cs="ETAFFC+FZXBSK--GBK1-0"/>
          <w:color w:val="000000"/>
          <w:sz w:val="32"/>
          <w:szCs w:val="32"/>
        </w:rPr>
        <w:t>最佳组织单位奖评选办法</w:t>
      </w:r>
    </w:p>
    <w:p w14:paraId="27E0180D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根据自治区关于《全国大学生数学建模竞赛广西赛区优秀组织学校、优秀组织工作者、优秀指导教师评选办法（试行）》文件精神，结合我校实际情况，鼓励我校各学院积极组织参加竞赛，特制定本办法。</w:t>
      </w:r>
    </w:p>
    <w:p w14:paraId="5B07775F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评选范围</w:t>
      </w:r>
    </w:p>
    <w:p w14:paraId="487B70BF"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参加此次竞赛的学院，数学与计算科学学院不参评。</w:t>
      </w:r>
    </w:p>
    <w:p w14:paraId="42A1252E"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二、评选条件</w:t>
      </w:r>
    </w:p>
    <w:p w14:paraId="3B1C2EBA"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1.学院组织工作到位，有专人负责，积极配合竞赛组委会开展工作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43396751"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2.所在学院成功参赛学生人数多，执行竞赛章程好，无违规现象，获奖率高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三、评选指标及计算公式</w:t>
      </w:r>
    </w:p>
    <w:tbl>
      <w:tblPr>
        <w:tblStyle w:val="6"/>
        <w:tblW w:w="83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6757"/>
      </w:tblGrid>
      <w:tr w14:paraId="60AF9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 w14:paraId="0C3D6EC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指标点</w:t>
            </w:r>
          </w:p>
        </w:tc>
        <w:tc>
          <w:tcPr>
            <w:tcW w:w="6757" w:type="dxa"/>
          </w:tcPr>
          <w:p w14:paraId="2BCFDF2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计算公式</w:t>
            </w:r>
          </w:p>
        </w:tc>
      </w:tr>
      <w:tr w14:paraId="07C02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 w14:paraId="4BD0A692"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组织报名X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757" w:type="dxa"/>
          </w:tcPr>
          <w:p w14:paraId="1E92FB52">
            <w:pPr>
              <w:rPr>
                <w:rFonts w:ascii="宋体" w:hAnsi="宋体" w:eastAsia="宋体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eastAsia="宋体" w:cs="宋体"/>
                    <w:color w:val="000000"/>
                    <w:spacing w:val="1"/>
                    <w:szCs w:val="21"/>
                  </w:rPr>
                  <m:t>组织报名分</m:t>
                </m:r>
                <m:r>
                  <m:rPr>
                    <m:sty m:val="p"/>
                  </m:rPr>
                  <w:rPr>
                    <w:rFonts w:hint="eastAsia" w:ascii="Cambria Math" w:hAnsi="Cambria Math" w:eastAsia="宋体" w:cs="宋体"/>
                    <w:color w:val="000000"/>
                    <w:spacing w:val="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组织报名学生数</m:t>
                    </m: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学生总人数（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除大四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，以教务系统为准）</m:t>
                    </m: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宋体"/>
                    <w:color w:val="000000"/>
                    <w:spacing w:val="1"/>
                    <w:szCs w:val="21"/>
                  </w:rPr>
                  <m:t>30%</m:t>
                </m:r>
              </m:oMath>
            </m:oMathPara>
          </w:p>
        </w:tc>
      </w:tr>
      <w:tr w14:paraId="33D8C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 w14:paraId="71EAC452">
            <w:pPr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竞赛</w:t>
            </w:r>
            <w:r>
              <w:rPr>
                <w:rFonts w:ascii="宋体" w:hAnsi="宋体" w:eastAsia="宋体"/>
                <w:sz w:val="24"/>
                <w:szCs w:val="24"/>
              </w:rPr>
              <w:t>论文提交X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757" w:type="dxa"/>
          </w:tcPr>
          <w:p w14:paraId="567A7B4B">
            <w:pPr>
              <w:ind w:firstLine="420"/>
              <w:rPr>
                <w:rFonts w:ascii="宋体" w:hAnsi="宋体" w:eastAsia="宋体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szCs w:val="21"/>
                  </w:rPr>
                  <m:t>竞赛论文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提交分=</m:t>
                </m:r>
                <m:f>
                  <m:fP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学院竞赛论文提交学生数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/>
                    <w:szCs w:val="21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0%</m:t>
                </m:r>
              </m:oMath>
            </m:oMathPara>
          </w:p>
        </w:tc>
      </w:tr>
      <w:tr w14:paraId="2674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 w14:paraId="1FA3FB1D"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竞赛</w:t>
            </w:r>
            <w:r>
              <w:rPr>
                <w:rFonts w:ascii="宋体" w:hAnsi="宋体" w:eastAsia="宋体"/>
                <w:sz w:val="24"/>
                <w:szCs w:val="24"/>
              </w:rPr>
              <w:t>获奖X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757" w:type="dxa"/>
          </w:tcPr>
          <w:p w14:paraId="70E54426">
            <w:pPr>
              <w:rPr>
                <w:rFonts w:ascii="宋体" w:hAnsi="宋体" w:eastAsia="宋体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szCs w:val="21"/>
                  </w:rPr>
                  <m:t>竞赛获奖分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学院竞赛获奖学生数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/>
                    <w:szCs w:val="21"/>
                  </w:rPr>
                  <m:t>40%</m:t>
                </m:r>
              </m:oMath>
            </m:oMathPara>
          </w:p>
        </w:tc>
      </w:tr>
      <w:tr w14:paraId="58BE5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 w14:paraId="5A2C8FE4"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总分</w:t>
            </w:r>
            <w:r>
              <w:rPr>
                <w:rFonts w:ascii="宋体" w:hAnsi="宋体" w:eastAsia="宋体"/>
                <w:sz w:val="24"/>
                <w:szCs w:val="24"/>
              </w:rPr>
              <w:t>X</w:t>
            </w:r>
          </w:p>
        </w:tc>
        <w:tc>
          <w:tcPr>
            <w:tcW w:w="6757" w:type="dxa"/>
            <w:vAlign w:val="center"/>
          </w:tcPr>
          <w:p w14:paraId="7A98F365">
            <w:pPr>
              <w:autoSpaceDE w:val="0"/>
              <w:autoSpaceDN w:val="0"/>
              <w:ind w:firstLine="692"/>
              <w:jc w:val="center"/>
              <w:rPr>
                <w:rFonts w:ascii="宋体" w:hAnsi="宋体" w:eastAsia="宋体"/>
                <w:color w:val="000000"/>
                <w:sz w:val="30"/>
                <w:vertAlign w:val="subscript"/>
              </w:rPr>
            </w:pP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X=X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1</w:t>
            </w: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+X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2</w:t>
            </w: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+X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3</w:t>
            </w:r>
          </w:p>
        </w:tc>
      </w:tr>
    </w:tbl>
    <w:p w14:paraId="269DAE41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四、评选办法</w:t>
      </w:r>
    </w:p>
    <w:p w14:paraId="0A32C42A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凡符合评选条件的学院均可参加评选最佳组织单位奖，按各学院总分高低评选 2 个最佳组织单位奖。</w:t>
      </w:r>
    </w:p>
    <w:p w14:paraId="589C3CD9">
      <w:pPr>
        <w:spacing w:line="360" w:lineRule="auto"/>
        <w:ind w:firstLine="480" w:firstLineChars="200"/>
        <w:rPr>
          <w:rFonts w:ascii="AHVJSQ+FZFSK--GBK1-0" w:hAnsi="AHVJSQ+FZFSK--GBK1-0" w:cs="AHVJSQ+FZFSK--GBK1-0"/>
          <w:color w:val="000000"/>
        </w:rPr>
      </w:pPr>
      <w:r>
        <w:rPr>
          <w:rFonts w:ascii="宋体" w:hAnsi="宋体" w:eastAsia="宋体"/>
          <w:sz w:val="24"/>
          <w:szCs w:val="24"/>
        </w:rPr>
        <w:t>五、未尽事宜由竞赛组委会讨论决定。</w:t>
      </w:r>
    </w:p>
    <w:p w14:paraId="7CD73682">
      <w:pPr>
        <w:widowControl/>
        <w:jc w:val="left"/>
        <w:rPr>
          <w:rFonts w:ascii="宋体" w:hAnsi="宋体" w:eastAsia="宋体" w:cs="仿宋_GB2312"/>
          <w:sz w:val="28"/>
          <w:szCs w:val="28"/>
        </w:rPr>
      </w:pPr>
    </w:p>
    <w:p w14:paraId="7CF128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ETAFFC+FZXB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HVJSQ+FZF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FE4FFF"/>
    <w:multiLevelType w:val="multilevel"/>
    <w:tmpl w:val="19FE4FFF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EC6"/>
    <w:rsid w:val="00234458"/>
    <w:rsid w:val="00605FC8"/>
    <w:rsid w:val="006874BA"/>
    <w:rsid w:val="00712EC6"/>
    <w:rsid w:val="00B25782"/>
    <w:rsid w:val="00BE4098"/>
    <w:rsid w:val="00F27F8D"/>
    <w:rsid w:val="00F323B7"/>
    <w:rsid w:val="38EE1FC3"/>
    <w:rsid w:val="7865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420</Words>
  <Characters>440</Characters>
  <Lines>3</Lines>
  <Paragraphs>1</Paragraphs>
  <TotalTime>2</TotalTime>
  <ScaleCrop>false</ScaleCrop>
  <LinksUpToDate>false</LinksUpToDate>
  <CharactersWithSpaces>442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2024-05-09T06:33:00Z</dcterms:created>
  <dc:creator>1511361872@qq.com</dc:creator>
  <cp:lastModifiedBy>大以巴蓝</cp:lastModifiedBy>
  <dcterms:modified xsi:type="dcterms:W3CDTF">2025-04-24T06:31:27Z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eyJoZGlkIjoiOTFiOWQwNDY3MWQ3ODQwOTBhNzk5ZDAxZTJjOWM5OWEiLCJ1c2VySWQiOiIyNDg3ODgxMjEifQ==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89ABD7D53878478BA0F78A9B9A859BA3_12</vt:lpwstr>
  </property>
</Properties>
</file>