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B6A65F" w14:textId="608F2E99" w:rsidR="001E6C69" w:rsidRPr="00342651" w:rsidRDefault="001E6C69" w:rsidP="001E6C69">
      <w:pPr>
        <w:spacing w:line="640" w:lineRule="exact"/>
        <w:jc w:val="left"/>
        <w:rPr>
          <w:rFonts w:ascii="黑体" w:eastAsia="黑体" w:hAnsi="黑体"/>
          <w:sz w:val="28"/>
          <w:szCs w:val="28"/>
        </w:rPr>
      </w:pPr>
      <w:r w:rsidRPr="00342651">
        <w:rPr>
          <w:rFonts w:ascii="黑体" w:eastAsia="黑体" w:hAnsi="黑体" w:hint="eastAsia"/>
          <w:sz w:val="28"/>
          <w:szCs w:val="28"/>
        </w:rPr>
        <w:t>附件1</w:t>
      </w:r>
    </w:p>
    <w:p w14:paraId="5570CAC6" w14:textId="3BD17E87" w:rsidR="001E6C69" w:rsidRPr="003A42E4" w:rsidRDefault="001E6C69" w:rsidP="001E6C69">
      <w:pPr>
        <w:spacing w:line="580" w:lineRule="exact"/>
        <w:jc w:val="center"/>
        <w:rPr>
          <w:rFonts w:ascii="仿宋" w:eastAsia="仿宋" w:hAnsi="仿宋"/>
          <w:b/>
          <w:sz w:val="32"/>
          <w:szCs w:val="32"/>
        </w:rPr>
      </w:pPr>
      <w:r>
        <w:rPr>
          <w:rFonts w:ascii="黑体" w:eastAsia="黑体" w:hAnsi="黑体" w:hint="eastAsia"/>
          <w:sz w:val="36"/>
          <w:szCs w:val="36"/>
        </w:rPr>
        <w:t xml:space="preserve"> </w:t>
      </w:r>
      <w:r w:rsidRPr="003A42E4">
        <w:rPr>
          <w:rFonts w:ascii="仿宋" w:eastAsia="仿宋" w:hAnsi="仿宋" w:hint="eastAsia"/>
          <w:b/>
          <w:sz w:val="32"/>
          <w:szCs w:val="32"/>
        </w:rPr>
        <w:t>“四有导师学院”在线研修服务项目</w:t>
      </w:r>
      <w:bookmarkStart w:id="0" w:name="_GoBack"/>
      <w:bookmarkEnd w:id="0"/>
      <w:r w:rsidRPr="003A42E4">
        <w:rPr>
          <w:rFonts w:ascii="仿宋" w:eastAsia="仿宋" w:hAnsi="仿宋" w:hint="eastAsia"/>
          <w:b/>
          <w:sz w:val="32"/>
          <w:szCs w:val="32"/>
        </w:rPr>
        <w:t>课程目录</w:t>
      </w:r>
    </w:p>
    <w:tbl>
      <w:tblPr>
        <w:tblW w:w="5038" w:type="pct"/>
        <w:tblLayout w:type="fixed"/>
        <w:tblLook w:val="04A0" w:firstRow="1" w:lastRow="0" w:firstColumn="1" w:lastColumn="0" w:noHBand="0" w:noVBand="1"/>
      </w:tblPr>
      <w:tblGrid>
        <w:gridCol w:w="449"/>
        <w:gridCol w:w="1774"/>
        <w:gridCol w:w="5002"/>
        <w:gridCol w:w="435"/>
        <w:gridCol w:w="699"/>
      </w:tblGrid>
      <w:tr w:rsidR="00A00E67" w:rsidRPr="00A00E67" w14:paraId="5785AD84" w14:textId="77777777" w:rsidTr="00A00E67">
        <w:trPr>
          <w:trHeight w:val="20"/>
          <w:tblHeader/>
        </w:trPr>
        <w:tc>
          <w:tcPr>
            <w:tcW w:w="269" w:type="pct"/>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2E70ED85" w14:textId="77777777" w:rsidR="00A00E67" w:rsidRPr="00A00E67" w:rsidRDefault="00A00E67" w:rsidP="00A00E67">
            <w:pPr>
              <w:widowControl/>
              <w:spacing w:line="280" w:lineRule="exact"/>
              <w:jc w:val="center"/>
              <w:rPr>
                <w:rFonts w:ascii="仿宋" w:eastAsia="仿宋" w:hAnsi="仿宋" w:cs="宋体"/>
                <w:b/>
                <w:bCs/>
                <w:color w:val="000000"/>
                <w:kern w:val="0"/>
                <w:szCs w:val="21"/>
              </w:rPr>
            </w:pPr>
            <w:r w:rsidRPr="00A00E67">
              <w:rPr>
                <w:rFonts w:ascii="仿宋" w:eastAsia="仿宋" w:hAnsi="仿宋" w:cs="宋体" w:hint="eastAsia"/>
                <w:b/>
                <w:bCs/>
                <w:color w:val="000000"/>
                <w:kern w:val="0"/>
                <w:szCs w:val="21"/>
              </w:rPr>
              <w:t>序号</w:t>
            </w:r>
          </w:p>
        </w:tc>
        <w:tc>
          <w:tcPr>
            <w:tcW w:w="1061" w:type="pct"/>
            <w:tcBorders>
              <w:top w:val="single" w:sz="4" w:space="0" w:color="000000"/>
              <w:left w:val="nil"/>
              <w:bottom w:val="single" w:sz="4" w:space="0" w:color="000000"/>
              <w:right w:val="single" w:sz="4" w:space="0" w:color="000000"/>
            </w:tcBorders>
            <w:shd w:val="clear" w:color="000000" w:fill="FFFFFF"/>
            <w:vAlign w:val="center"/>
            <w:hideMark/>
          </w:tcPr>
          <w:p w14:paraId="3D54D431" w14:textId="77777777" w:rsidR="00A00E67" w:rsidRPr="00A00E67" w:rsidRDefault="00A00E67" w:rsidP="00A00E67">
            <w:pPr>
              <w:widowControl/>
              <w:spacing w:line="280" w:lineRule="exact"/>
              <w:jc w:val="center"/>
              <w:rPr>
                <w:rFonts w:ascii="仿宋" w:eastAsia="仿宋" w:hAnsi="仿宋" w:cs="宋体" w:hint="eastAsia"/>
                <w:b/>
                <w:bCs/>
                <w:color w:val="000000"/>
                <w:kern w:val="0"/>
                <w:szCs w:val="21"/>
              </w:rPr>
            </w:pPr>
            <w:r w:rsidRPr="00A00E67">
              <w:rPr>
                <w:rFonts w:ascii="仿宋" w:eastAsia="仿宋" w:hAnsi="仿宋" w:cs="宋体" w:hint="eastAsia"/>
                <w:b/>
                <w:bCs/>
                <w:color w:val="000000"/>
                <w:kern w:val="0"/>
                <w:szCs w:val="21"/>
              </w:rPr>
              <w:t>课程名称</w:t>
            </w:r>
          </w:p>
        </w:tc>
        <w:tc>
          <w:tcPr>
            <w:tcW w:w="2992" w:type="pct"/>
            <w:tcBorders>
              <w:top w:val="single" w:sz="4" w:space="0" w:color="000000"/>
              <w:left w:val="nil"/>
              <w:bottom w:val="single" w:sz="4" w:space="0" w:color="000000"/>
              <w:right w:val="single" w:sz="4" w:space="0" w:color="000000"/>
            </w:tcBorders>
            <w:shd w:val="clear" w:color="000000" w:fill="FFFFFF"/>
            <w:vAlign w:val="center"/>
            <w:hideMark/>
          </w:tcPr>
          <w:p w14:paraId="7A5D4393" w14:textId="77777777" w:rsidR="00A00E67" w:rsidRPr="00A00E67" w:rsidRDefault="00A00E67" w:rsidP="00A00E67">
            <w:pPr>
              <w:widowControl/>
              <w:spacing w:line="280" w:lineRule="exact"/>
              <w:jc w:val="center"/>
              <w:rPr>
                <w:rFonts w:ascii="仿宋" w:eastAsia="仿宋" w:hAnsi="仿宋" w:cs="宋体" w:hint="eastAsia"/>
                <w:b/>
                <w:bCs/>
                <w:color w:val="000000"/>
                <w:kern w:val="0"/>
                <w:szCs w:val="21"/>
              </w:rPr>
            </w:pPr>
            <w:r w:rsidRPr="00A00E67">
              <w:rPr>
                <w:rFonts w:ascii="仿宋" w:eastAsia="仿宋" w:hAnsi="仿宋" w:cs="宋体" w:hint="eastAsia"/>
                <w:b/>
                <w:bCs/>
                <w:color w:val="000000"/>
                <w:kern w:val="0"/>
                <w:szCs w:val="21"/>
              </w:rPr>
              <w:t>课程介绍</w:t>
            </w:r>
          </w:p>
        </w:tc>
        <w:tc>
          <w:tcPr>
            <w:tcW w:w="260" w:type="pct"/>
            <w:tcBorders>
              <w:top w:val="single" w:sz="4" w:space="0" w:color="000000"/>
              <w:left w:val="nil"/>
              <w:bottom w:val="single" w:sz="4" w:space="0" w:color="000000"/>
              <w:right w:val="single" w:sz="4" w:space="0" w:color="000000"/>
            </w:tcBorders>
            <w:shd w:val="clear" w:color="000000" w:fill="FFFFFF"/>
            <w:vAlign w:val="center"/>
            <w:hideMark/>
          </w:tcPr>
          <w:p w14:paraId="66F64E31" w14:textId="77777777" w:rsidR="00A00E67" w:rsidRPr="00A00E67" w:rsidRDefault="00A00E67" w:rsidP="003A42E4">
            <w:pPr>
              <w:widowControl/>
              <w:spacing w:line="280" w:lineRule="exact"/>
              <w:jc w:val="center"/>
              <w:rPr>
                <w:rFonts w:ascii="仿宋" w:eastAsia="仿宋" w:hAnsi="仿宋" w:cs="宋体" w:hint="eastAsia"/>
                <w:b/>
                <w:bCs/>
                <w:color w:val="000000"/>
                <w:kern w:val="0"/>
                <w:szCs w:val="21"/>
              </w:rPr>
            </w:pPr>
            <w:r w:rsidRPr="00A00E67">
              <w:rPr>
                <w:rFonts w:ascii="仿宋" w:eastAsia="仿宋" w:hAnsi="仿宋" w:cs="宋体" w:hint="eastAsia"/>
                <w:b/>
                <w:color w:val="000000"/>
                <w:kern w:val="0"/>
                <w:szCs w:val="21"/>
              </w:rPr>
              <w:t>板块</w:t>
            </w:r>
          </w:p>
        </w:tc>
        <w:tc>
          <w:tcPr>
            <w:tcW w:w="418" w:type="pct"/>
            <w:tcBorders>
              <w:top w:val="single" w:sz="4" w:space="0" w:color="000000"/>
              <w:left w:val="nil"/>
              <w:bottom w:val="single" w:sz="4" w:space="0" w:color="000000"/>
              <w:right w:val="single" w:sz="4" w:space="0" w:color="000000"/>
            </w:tcBorders>
            <w:shd w:val="clear" w:color="000000" w:fill="FFFFFF"/>
            <w:vAlign w:val="center"/>
            <w:hideMark/>
          </w:tcPr>
          <w:p w14:paraId="1222AE4E" w14:textId="77777777" w:rsidR="00A00E67" w:rsidRPr="00A00E67" w:rsidRDefault="00A00E67" w:rsidP="00A00E67">
            <w:pPr>
              <w:widowControl/>
              <w:spacing w:line="280" w:lineRule="exact"/>
              <w:jc w:val="center"/>
              <w:rPr>
                <w:rFonts w:ascii="仿宋" w:eastAsia="仿宋" w:hAnsi="仿宋" w:cs="宋体" w:hint="eastAsia"/>
                <w:b/>
                <w:bCs/>
                <w:color w:val="000000"/>
                <w:kern w:val="0"/>
                <w:szCs w:val="21"/>
              </w:rPr>
            </w:pPr>
            <w:r w:rsidRPr="00A00E67">
              <w:rPr>
                <w:rFonts w:ascii="仿宋" w:eastAsia="仿宋" w:hAnsi="仿宋" w:cs="宋体" w:hint="eastAsia"/>
                <w:b/>
                <w:bCs/>
                <w:color w:val="000000"/>
                <w:kern w:val="0"/>
                <w:szCs w:val="21"/>
              </w:rPr>
              <w:t>学时</w:t>
            </w:r>
          </w:p>
        </w:tc>
      </w:tr>
      <w:tr w:rsidR="00A00E67" w:rsidRPr="00A00E67" w14:paraId="6039762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E5E903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w:t>
            </w:r>
          </w:p>
        </w:tc>
        <w:tc>
          <w:tcPr>
            <w:tcW w:w="1061" w:type="pct"/>
            <w:tcBorders>
              <w:top w:val="nil"/>
              <w:left w:val="nil"/>
              <w:bottom w:val="single" w:sz="4" w:space="0" w:color="000000"/>
              <w:right w:val="single" w:sz="4" w:space="0" w:color="000000"/>
            </w:tcBorders>
            <w:shd w:val="clear" w:color="auto" w:fill="auto"/>
            <w:vAlign w:val="center"/>
            <w:hideMark/>
          </w:tcPr>
          <w:p w14:paraId="4CCFAA6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研究生教育为学有道与为人有德</w:t>
            </w:r>
          </w:p>
        </w:tc>
        <w:tc>
          <w:tcPr>
            <w:tcW w:w="2992" w:type="pct"/>
            <w:tcBorders>
              <w:top w:val="nil"/>
              <w:left w:val="nil"/>
              <w:bottom w:val="single" w:sz="4" w:space="0" w:color="000000"/>
              <w:right w:val="single" w:sz="4" w:space="0" w:color="000000"/>
            </w:tcBorders>
            <w:shd w:val="clear" w:color="auto" w:fill="auto"/>
            <w:vAlign w:val="center"/>
            <w:hideMark/>
          </w:tcPr>
          <w:p w14:paraId="55CA21F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本课程以“有道德情操”为主题，从科学道德的重要性、学术不端和不当行为的表现形式，以及学术诚信的四点忠告等方面，阐述了如何做到“为学有道，为人有德”。</w:t>
            </w:r>
          </w:p>
        </w:tc>
        <w:tc>
          <w:tcPr>
            <w:tcW w:w="260" w:type="pct"/>
            <w:tcBorders>
              <w:top w:val="nil"/>
              <w:left w:val="nil"/>
              <w:bottom w:val="single" w:sz="4" w:space="0" w:color="000000"/>
              <w:right w:val="single" w:sz="4" w:space="0" w:color="000000"/>
            </w:tcBorders>
            <w:shd w:val="clear" w:color="auto" w:fill="auto"/>
            <w:noWrap/>
            <w:vAlign w:val="center"/>
            <w:hideMark/>
          </w:tcPr>
          <w:p w14:paraId="4686D38E"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3D6ED6F6" w14:textId="54753BD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0.70</w:t>
            </w:r>
          </w:p>
        </w:tc>
      </w:tr>
      <w:tr w:rsidR="00A00E67" w:rsidRPr="00A00E67" w14:paraId="21414C6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777A23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w:t>
            </w:r>
          </w:p>
        </w:tc>
        <w:tc>
          <w:tcPr>
            <w:tcW w:w="1061" w:type="pct"/>
            <w:tcBorders>
              <w:top w:val="nil"/>
              <w:left w:val="nil"/>
              <w:bottom w:val="single" w:sz="4" w:space="0" w:color="000000"/>
              <w:right w:val="single" w:sz="4" w:space="0" w:color="000000"/>
            </w:tcBorders>
            <w:shd w:val="clear" w:color="auto" w:fill="auto"/>
            <w:vAlign w:val="center"/>
            <w:hideMark/>
          </w:tcPr>
          <w:p w14:paraId="6398151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研究生教育的学识扎实与育人道地</w:t>
            </w:r>
          </w:p>
        </w:tc>
        <w:tc>
          <w:tcPr>
            <w:tcW w:w="2992" w:type="pct"/>
            <w:tcBorders>
              <w:top w:val="nil"/>
              <w:left w:val="nil"/>
              <w:bottom w:val="single" w:sz="4" w:space="0" w:color="000000"/>
              <w:right w:val="single" w:sz="4" w:space="0" w:color="000000"/>
            </w:tcBorders>
            <w:shd w:val="clear" w:color="auto" w:fill="auto"/>
            <w:vAlign w:val="center"/>
            <w:hideMark/>
          </w:tcPr>
          <w:p w14:paraId="5C6D004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本课程以“有扎实学识”为主题，从留足空间、因材施教、有择有责、有竞有协、昂扬志气等五个方面，阐述了如何做到“学识扎实，育人道地”。</w:t>
            </w:r>
          </w:p>
        </w:tc>
        <w:tc>
          <w:tcPr>
            <w:tcW w:w="260" w:type="pct"/>
            <w:tcBorders>
              <w:top w:val="nil"/>
              <w:left w:val="nil"/>
              <w:bottom w:val="single" w:sz="4" w:space="0" w:color="000000"/>
              <w:right w:val="single" w:sz="4" w:space="0" w:color="000000"/>
            </w:tcBorders>
            <w:shd w:val="clear" w:color="auto" w:fill="auto"/>
            <w:noWrap/>
            <w:vAlign w:val="center"/>
            <w:hideMark/>
          </w:tcPr>
          <w:p w14:paraId="5CB041C3"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0D7C8DA" w14:textId="30851D71"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0.60</w:t>
            </w:r>
          </w:p>
        </w:tc>
      </w:tr>
      <w:tr w:rsidR="00A00E67" w:rsidRPr="00A00E67" w14:paraId="7537C4A7"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11DEDE7"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w:t>
            </w:r>
          </w:p>
        </w:tc>
        <w:tc>
          <w:tcPr>
            <w:tcW w:w="1061" w:type="pct"/>
            <w:tcBorders>
              <w:top w:val="nil"/>
              <w:left w:val="nil"/>
              <w:bottom w:val="single" w:sz="4" w:space="0" w:color="000000"/>
              <w:right w:val="single" w:sz="4" w:space="0" w:color="000000"/>
            </w:tcBorders>
            <w:shd w:val="clear" w:color="auto" w:fill="auto"/>
            <w:vAlign w:val="center"/>
            <w:hideMark/>
          </w:tcPr>
          <w:p w14:paraId="543C9DD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研究生教育的仁者爱人与知人为教</w:t>
            </w:r>
          </w:p>
        </w:tc>
        <w:tc>
          <w:tcPr>
            <w:tcW w:w="2992" w:type="pct"/>
            <w:tcBorders>
              <w:top w:val="nil"/>
              <w:left w:val="nil"/>
              <w:bottom w:val="single" w:sz="4" w:space="0" w:color="000000"/>
              <w:right w:val="single" w:sz="4" w:space="0" w:color="000000"/>
            </w:tcBorders>
            <w:shd w:val="clear" w:color="auto" w:fill="auto"/>
            <w:vAlign w:val="center"/>
            <w:hideMark/>
          </w:tcPr>
          <w:p w14:paraId="34813D8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本课程以“有仁爱之心”为主题，从及时给力、不怨弱进、奖励诚信、尊重个性、一世提携等五个方面，阐述了如何做到“仁者爱人，知人为教”。</w:t>
            </w:r>
          </w:p>
        </w:tc>
        <w:tc>
          <w:tcPr>
            <w:tcW w:w="260" w:type="pct"/>
            <w:tcBorders>
              <w:top w:val="nil"/>
              <w:left w:val="nil"/>
              <w:bottom w:val="single" w:sz="4" w:space="0" w:color="000000"/>
              <w:right w:val="single" w:sz="4" w:space="0" w:color="000000"/>
            </w:tcBorders>
            <w:shd w:val="clear" w:color="auto" w:fill="auto"/>
            <w:noWrap/>
            <w:vAlign w:val="center"/>
            <w:hideMark/>
          </w:tcPr>
          <w:p w14:paraId="5D21D20F"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58472DF" w14:textId="7DC7415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0.60</w:t>
            </w:r>
          </w:p>
        </w:tc>
      </w:tr>
      <w:tr w:rsidR="00A00E67" w:rsidRPr="00A00E67" w14:paraId="6EE655F0"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7802D6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w:t>
            </w:r>
          </w:p>
        </w:tc>
        <w:tc>
          <w:tcPr>
            <w:tcW w:w="1061" w:type="pct"/>
            <w:tcBorders>
              <w:top w:val="nil"/>
              <w:left w:val="nil"/>
              <w:bottom w:val="single" w:sz="4" w:space="0" w:color="000000"/>
              <w:right w:val="single" w:sz="4" w:space="0" w:color="000000"/>
            </w:tcBorders>
            <w:shd w:val="clear" w:color="auto" w:fill="auto"/>
            <w:vAlign w:val="center"/>
            <w:hideMark/>
          </w:tcPr>
          <w:p w14:paraId="0B59E60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研究生导师如何履行好立德树人职责</w:t>
            </w:r>
          </w:p>
        </w:tc>
        <w:tc>
          <w:tcPr>
            <w:tcW w:w="2992" w:type="pct"/>
            <w:tcBorders>
              <w:top w:val="nil"/>
              <w:left w:val="nil"/>
              <w:bottom w:val="single" w:sz="4" w:space="0" w:color="000000"/>
              <w:right w:val="single" w:sz="4" w:space="0" w:color="000000"/>
            </w:tcBorders>
            <w:shd w:val="clear" w:color="auto" w:fill="auto"/>
            <w:vAlign w:val="center"/>
            <w:hideMark/>
          </w:tcPr>
          <w:p w14:paraId="12DAD49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新时代研究生教育发展背景、发展现状、发展趋势开始探讨，回顾和梳理立德树人重要论述的核心观点，从思想政治教育、学术规范训练、创新能力培养等方面分析如何贯彻和落实研究生导师的主要职责。</w:t>
            </w:r>
          </w:p>
        </w:tc>
        <w:tc>
          <w:tcPr>
            <w:tcW w:w="260" w:type="pct"/>
            <w:tcBorders>
              <w:top w:val="nil"/>
              <w:left w:val="nil"/>
              <w:bottom w:val="single" w:sz="4" w:space="0" w:color="000000"/>
              <w:right w:val="single" w:sz="4" w:space="0" w:color="000000"/>
            </w:tcBorders>
            <w:shd w:val="clear" w:color="auto" w:fill="auto"/>
            <w:noWrap/>
            <w:vAlign w:val="center"/>
            <w:hideMark/>
          </w:tcPr>
          <w:p w14:paraId="701A7F37"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438F636E" w14:textId="6022261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1.90</w:t>
            </w:r>
          </w:p>
        </w:tc>
      </w:tr>
      <w:tr w:rsidR="00A00E67" w:rsidRPr="00A00E67" w14:paraId="091BAB1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57BD65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w:t>
            </w:r>
          </w:p>
        </w:tc>
        <w:tc>
          <w:tcPr>
            <w:tcW w:w="1061" w:type="pct"/>
            <w:tcBorders>
              <w:top w:val="nil"/>
              <w:left w:val="nil"/>
              <w:bottom w:val="single" w:sz="4" w:space="0" w:color="000000"/>
              <w:right w:val="single" w:sz="4" w:space="0" w:color="000000"/>
            </w:tcBorders>
            <w:shd w:val="clear" w:color="auto" w:fill="auto"/>
            <w:vAlign w:val="center"/>
            <w:hideMark/>
          </w:tcPr>
          <w:p w14:paraId="4ADBA97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《研究生导师指导行为准则》要点解读与案例分析</w:t>
            </w:r>
          </w:p>
        </w:tc>
        <w:tc>
          <w:tcPr>
            <w:tcW w:w="2992" w:type="pct"/>
            <w:tcBorders>
              <w:top w:val="nil"/>
              <w:left w:val="nil"/>
              <w:bottom w:val="single" w:sz="4" w:space="0" w:color="000000"/>
              <w:right w:val="single" w:sz="4" w:space="0" w:color="000000"/>
            </w:tcBorders>
            <w:shd w:val="clear" w:color="auto" w:fill="auto"/>
            <w:vAlign w:val="center"/>
            <w:hideMark/>
          </w:tcPr>
          <w:p w14:paraId="68021C5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本课程聚焦研究生导师全过程指导，从导师对学生的思想引领，以及导师参与教学管理两大方面，结合以公开发布典型案例的分析，对《研究生导师指导行为准则》进行了要点解读。</w:t>
            </w:r>
          </w:p>
        </w:tc>
        <w:tc>
          <w:tcPr>
            <w:tcW w:w="260" w:type="pct"/>
            <w:tcBorders>
              <w:top w:val="nil"/>
              <w:left w:val="nil"/>
              <w:bottom w:val="single" w:sz="4" w:space="0" w:color="000000"/>
              <w:right w:val="single" w:sz="4" w:space="0" w:color="000000"/>
            </w:tcBorders>
            <w:shd w:val="clear" w:color="auto" w:fill="auto"/>
            <w:noWrap/>
            <w:vAlign w:val="center"/>
            <w:hideMark/>
          </w:tcPr>
          <w:p w14:paraId="34062014"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6A097D60" w14:textId="191BC321"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2.90</w:t>
            </w:r>
          </w:p>
        </w:tc>
      </w:tr>
      <w:tr w:rsidR="00A00E67" w:rsidRPr="00A00E67" w14:paraId="1013F23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58025D8"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6</w:t>
            </w:r>
          </w:p>
        </w:tc>
        <w:tc>
          <w:tcPr>
            <w:tcW w:w="1061" w:type="pct"/>
            <w:tcBorders>
              <w:top w:val="nil"/>
              <w:left w:val="nil"/>
              <w:bottom w:val="single" w:sz="4" w:space="0" w:color="000000"/>
              <w:right w:val="single" w:sz="4" w:space="0" w:color="000000"/>
            </w:tcBorders>
            <w:shd w:val="clear" w:color="auto" w:fill="auto"/>
            <w:vAlign w:val="center"/>
            <w:hideMark/>
          </w:tcPr>
          <w:p w14:paraId="20388CB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立德树人、因材施教</w:t>
            </w:r>
          </w:p>
        </w:tc>
        <w:tc>
          <w:tcPr>
            <w:tcW w:w="2992" w:type="pct"/>
            <w:tcBorders>
              <w:top w:val="nil"/>
              <w:left w:val="nil"/>
              <w:bottom w:val="single" w:sz="4" w:space="0" w:color="000000"/>
              <w:right w:val="single" w:sz="4" w:space="0" w:color="000000"/>
            </w:tcBorders>
            <w:shd w:val="clear" w:color="auto" w:fill="auto"/>
            <w:vAlign w:val="center"/>
            <w:hideMark/>
          </w:tcPr>
          <w:p w14:paraId="3479FEC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本课程从导师和学生两个维度分别理解“立德树人”，从“学术道德”培养的角度挖掘“立德树人”的关键环节，从规范的“学术行为”角度体现“学术道德”，探讨了如何通过识“材”辨“材”落实因材施教。</w:t>
            </w:r>
          </w:p>
        </w:tc>
        <w:tc>
          <w:tcPr>
            <w:tcW w:w="260" w:type="pct"/>
            <w:tcBorders>
              <w:top w:val="nil"/>
              <w:left w:val="nil"/>
              <w:bottom w:val="single" w:sz="4" w:space="0" w:color="000000"/>
              <w:right w:val="single" w:sz="4" w:space="0" w:color="000000"/>
            </w:tcBorders>
            <w:shd w:val="clear" w:color="auto" w:fill="auto"/>
            <w:noWrap/>
            <w:vAlign w:val="center"/>
            <w:hideMark/>
          </w:tcPr>
          <w:p w14:paraId="472FCCAB"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0FCB94B1" w14:textId="5919981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1.80</w:t>
            </w:r>
          </w:p>
        </w:tc>
      </w:tr>
      <w:tr w:rsidR="00A00E67" w:rsidRPr="00A00E67" w14:paraId="5DDFE8E4"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840E0E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7</w:t>
            </w:r>
          </w:p>
        </w:tc>
        <w:tc>
          <w:tcPr>
            <w:tcW w:w="1061" w:type="pct"/>
            <w:tcBorders>
              <w:top w:val="nil"/>
              <w:left w:val="nil"/>
              <w:bottom w:val="single" w:sz="4" w:space="0" w:color="000000"/>
              <w:right w:val="single" w:sz="4" w:space="0" w:color="000000"/>
            </w:tcBorders>
            <w:shd w:val="clear" w:color="auto" w:fill="auto"/>
            <w:vAlign w:val="center"/>
            <w:hideMark/>
          </w:tcPr>
          <w:p w14:paraId="1C0005F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人格与身教：研究生导师如何立德树人</w:t>
            </w:r>
          </w:p>
        </w:tc>
        <w:tc>
          <w:tcPr>
            <w:tcW w:w="2992" w:type="pct"/>
            <w:tcBorders>
              <w:top w:val="nil"/>
              <w:left w:val="nil"/>
              <w:bottom w:val="single" w:sz="4" w:space="0" w:color="000000"/>
              <w:right w:val="single" w:sz="4" w:space="0" w:color="000000"/>
            </w:tcBorders>
            <w:shd w:val="clear" w:color="auto" w:fill="auto"/>
            <w:vAlign w:val="center"/>
            <w:hideMark/>
          </w:tcPr>
          <w:p w14:paraId="47F1694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阐述了研究生导师职责的时代要义、师德概念与相关政策变迁，从导师指导的组成要素出发，探讨导师指导的类型和指导过程中的关注点，以生动的案例展示研究生导师人格与身教对研究生社会化的重要性，并探讨“立德树人”如何通过改善指导形式、注重导师对研究生个人发展的关注，以及通过加强导师人格感染、榜样塑造而落到实处。</w:t>
            </w:r>
          </w:p>
        </w:tc>
        <w:tc>
          <w:tcPr>
            <w:tcW w:w="260" w:type="pct"/>
            <w:tcBorders>
              <w:top w:val="nil"/>
              <w:left w:val="nil"/>
              <w:bottom w:val="single" w:sz="4" w:space="0" w:color="000000"/>
              <w:right w:val="single" w:sz="4" w:space="0" w:color="000000"/>
            </w:tcBorders>
            <w:shd w:val="clear" w:color="auto" w:fill="auto"/>
            <w:noWrap/>
            <w:vAlign w:val="center"/>
            <w:hideMark/>
          </w:tcPr>
          <w:p w14:paraId="13600057"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64F9CAA4" w14:textId="45ED632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1.60</w:t>
            </w:r>
          </w:p>
        </w:tc>
      </w:tr>
      <w:tr w:rsidR="00A00E67" w:rsidRPr="00A00E67" w14:paraId="30A7BE6A"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1F66192"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8</w:t>
            </w:r>
          </w:p>
        </w:tc>
        <w:tc>
          <w:tcPr>
            <w:tcW w:w="1061" w:type="pct"/>
            <w:tcBorders>
              <w:top w:val="nil"/>
              <w:left w:val="nil"/>
              <w:bottom w:val="single" w:sz="4" w:space="0" w:color="000000"/>
              <w:right w:val="single" w:sz="4" w:space="0" w:color="000000"/>
            </w:tcBorders>
            <w:shd w:val="clear" w:color="auto" w:fill="auto"/>
            <w:vAlign w:val="center"/>
            <w:hideMark/>
          </w:tcPr>
          <w:p w14:paraId="140A09B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指导风格和师生关系如何影响研究生培养质量</w:t>
            </w:r>
          </w:p>
        </w:tc>
        <w:tc>
          <w:tcPr>
            <w:tcW w:w="2992" w:type="pct"/>
            <w:tcBorders>
              <w:top w:val="nil"/>
              <w:left w:val="nil"/>
              <w:bottom w:val="single" w:sz="4" w:space="0" w:color="000000"/>
              <w:right w:val="single" w:sz="4" w:space="0" w:color="000000"/>
            </w:tcBorders>
            <w:shd w:val="clear" w:color="auto" w:fill="auto"/>
            <w:vAlign w:val="center"/>
            <w:hideMark/>
          </w:tcPr>
          <w:p w14:paraId="602365B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与高校师德建设和导师立德树人相关的政策入手，主要阐述研究生导师的角色和职责，以生动的案例展示研究生导师指导风格与师生关系对人才培养质量的重要性，探讨“为学”“为事”“为人”如何在师生关系中通过导师指导风格对研究生社会化产生影响。</w:t>
            </w:r>
          </w:p>
        </w:tc>
        <w:tc>
          <w:tcPr>
            <w:tcW w:w="260" w:type="pct"/>
            <w:tcBorders>
              <w:top w:val="nil"/>
              <w:left w:val="nil"/>
              <w:bottom w:val="single" w:sz="4" w:space="0" w:color="000000"/>
              <w:right w:val="single" w:sz="4" w:space="0" w:color="000000"/>
            </w:tcBorders>
            <w:shd w:val="clear" w:color="auto" w:fill="auto"/>
            <w:noWrap/>
            <w:vAlign w:val="center"/>
            <w:hideMark/>
          </w:tcPr>
          <w:p w14:paraId="49019B6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5DB2D524" w14:textId="3F02C2F6"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1.50</w:t>
            </w:r>
          </w:p>
        </w:tc>
      </w:tr>
      <w:tr w:rsidR="00A00E67" w:rsidRPr="00A00E67" w14:paraId="25351510"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E40B76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9</w:t>
            </w:r>
          </w:p>
        </w:tc>
        <w:tc>
          <w:tcPr>
            <w:tcW w:w="1061" w:type="pct"/>
            <w:tcBorders>
              <w:top w:val="nil"/>
              <w:left w:val="nil"/>
              <w:bottom w:val="single" w:sz="4" w:space="0" w:color="000000"/>
              <w:right w:val="single" w:sz="4" w:space="0" w:color="000000"/>
            </w:tcBorders>
            <w:shd w:val="clear" w:color="auto" w:fill="auto"/>
            <w:vAlign w:val="center"/>
            <w:hideMark/>
          </w:tcPr>
          <w:p w14:paraId="03C8F4E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机械工程专业课程思政建设中《工程伦理》价值观和伦理原则的导入</w:t>
            </w:r>
          </w:p>
        </w:tc>
        <w:tc>
          <w:tcPr>
            <w:tcW w:w="2992" w:type="pct"/>
            <w:tcBorders>
              <w:top w:val="nil"/>
              <w:left w:val="nil"/>
              <w:bottom w:val="single" w:sz="4" w:space="0" w:color="000000"/>
              <w:right w:val="single" w:sz="4" w:space="0" w:color="000000"/>
            </w:tcBorders>
            <w:shd w:val="clear" w:color="auto" w:fill="auto"/>
            <w:vAlign w:val="center"/>
            <w:hideMark/>
          </w:tcPr>
          <w:p w14:paraId="4F6775B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本课程针对工程伦理课程教学与学科专业相脱节的问题，讨论了如何将《工程伦理》价值观、伦理原则等与专业课有机结合的方式方法，介绍了课程思政建设的有益探索。</w:t>
            </w:r>
          </w:p>
        </w:tc>
        <w:tc>
          <w:tcPr>
            <w:tcW w:w="260" w:type="pct"/>
            <w:tcBorders>
              <w:top w:val="nil"/>
              <w:left w:val="nil"/>
              <w:bottom w:val="single" w:sz="4" w:space="0" w:color="000000"/>
              <w:right w:val="single" w:sz="4" w:space="0" w:color="000000"/>
            </w:tcBorders>
            <w:shd w:val="clear" w:color="auto" w:fill="auto"/>
            <w:noWrap/>
            <w:vAlign w:val="center"/>
            <w:hideMark/>
          </w:tcPr>
          <w:p w14:paraId="4F1BD1BC"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949F47B" w14:textId="67FE3CB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1.70</w:t>
            </w:r>
          </w:p>
        </w:tc>
      </w:tr>
      <w:tr w:rsidR="00A00E67" w:rsidRPr="00A00E67" w14:paraId="7AB85E29" w14:textId="77777777" w:rsidTr="003A42E4">
        <w:trPr>
          <w:trHeight w:val="1544"/>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075BC64"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lastRenderedPageBreak/>
              <w:t>10</w:t>
            </w:r>
          </w:p>
        </w:tc>
        <w:tc>
          <w:tcPr>
            <w:tcW w:w="1061" w:type="pct"/>
            <w:tcBorders>
              <w:top w:val="nil"/>
              <w:left w:val="nil"/>
              <w:bottom w:val="single" w:sz="4" w:space="0" w:color="000000"/>
              <w:right w:val="single" w:sz="4" w:space="0" w:color="000000"/>
            </w:tcBorders>
            <w:shd w:val="clear" w:color="auto" w:fill="auto"/>
            <w:vAlign w:val="center"/>
            <w:hideMark/>
          </w:tcPr>
          <w:p w14:paraId="3FC8F6E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恪守科研诚信</w:t>
            </w:r>
            <w:r w:rsidRPr="00A00E67">
              <w:rPr>
                <w:rFonts w:ascii="Calibri" w:eastAsia="仿宋" w:hAnsi="Calibri" w:cs="Calibri"/>
                <w:color w:val="000000"/>
                <w:kern w:val="0"/>
                <w:szCs w:val="21"/>
              </w:rPr>
              <w:t> </w:t>
            </w:r>
            <w:r w:rsidRPr="00A00E67">
              <w:rPr>
                <w:rFonts w:ascii="仿宋" w:eastAsia="仿宋" w:hAnsi="仿宋" w:cs="宋体" w:hint="eastAsia"/>
                <w:color w:val="000000"/>
                <w:kern w:val="0"/>
                <w:szCs w:val="21"/>
              </w:rPr>
              <w:t>倡导负责任研究行为</w:t>
            </w:r>
          </w:p>
        </w:tc>
        <w:tc>
          <w:tcPr>
            <w:tcW w:w="2992" w:type="pct"/>
            <w:tcBorders>
              <w:top w:val="nil"/>
              <w:left w:val="nil"/>
              <w:bottom w:val="single" w:sz="4" w:space="0" w:color="000000"/>
              <w:right w:val="single" w:sz="4" w:space="0" w:color="000000"/>
            </w:tcBorders>
            <w:shd w:val="clear" w:color="auto" w:fill="auto"/>
            <w:vAlign w:val="center"/>
            <w:hideMark/>
          </w:tcPr>
          <w:p w14:paraId="1BB607E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探讨了导师的科研诚信意识和培养学生恪守科研诚信的责任与担当。内容包括：学术研究的本质、科研失范行为分类、美国科研诚信建设的历史回顾、中国科研失范行为现状和治理、实现负责任研究行为途径及导师在科研诚信教育中的责任。</w:t>
            </w:r>
          </w:p>
        </w:tc>
        <w:tc>
          <w:tcPr>
            <w:tcW w:w="260" w:type="pct"/>
            <w:tcBorders>
              <w:top w:val="nil"/>
              <w:left w:val="nil"/>
              <w:bottom w:val="single" w:sz="4" w:space="0" w:color="000000"/>
              <w:right w:val="single" w:sz="4" w:space="0" w:color="000000"/>
            </w:tcBorders>
            <w:shd w:val="clear" w:color="auto" w:fill="auto"/>
            <w:noWrap/>
            <w:vAlign w:val="center"/>
            <w:hideMark/>
          </w:tcPr>
          <w:p w14:paraId="315A8030"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7F485A7" w14:textId="1F6D3C03"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2.20</w:t>
            </w:r>
          </w:p>
        </w:tc>
      </w:tr>
      <w:tr w:rsidR="00A00E67" w:rsidRPr="00A00E67" w14:paraId="7BE9F445"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E014CE6"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11</w:t>
            </w:r>
          </w:p>
        </w:tc>
        <w:tc>
          <w:tcPr>
            <w:tcW w:w="1061" w:type="pct"/>
            <w:tcBorders>
              <w:top w:val="nil"/>
              <w:left w:val="nil"/>
              <w:bottom w:val="single" w:sz="4" w:space="0" w:color="000000"/>
              <w:right w:val="single" w:sz="4" w:space="0" w:color="000000"/>
            </w:tcBorders>
            <w:shd w:val="clear" w:color="auto" w:fill="auto"/>
            <w:vAlign w:val="center"/>
            <w:hideMark/>
          </w:tcPr>
          <w:p w14:paraId="62EFCCB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导师如何指导学生？——法律与师德的视角</w:t>
            </w:r>
          </w:p>
        </w:tc>
        <w:tc>
          <w:tcPr>
            <w:tcW w:w="2992" w:type="pct"/>
            <w:tcBorders>
              <w:top w:val="nil"/>
              <w:left w:val="nil"/>
              <w:bottom w:val="single" w:sz="4" w:space="0" w:color="000000"/>
              <w:right w:val="single" w:sz="4" w:space="0" w:color="000000"/>
            </w:tcBorders>
            <w:shd w:val="clear" w:color="auto" w:fill="auto"/>
            <w:vAlign w:val="center"/>
            <w:hideMark/>
          </w:tcPr>
          <w:p w14:paraId="248DC5C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本课程从研究生心理健康现状入手，针对不同心理问题的分级，介绍了研究生心理问题的发生、表现，以及作为导师与研究生谈论心理问题的应对策略。</w:t>
            </w:r>
          </w:p>
        </w:tc>
        <w:tc>
          <w:tcPr>
            <w:tcW w:w="260" w:type="pct"/>
            <w:tcBorders>
              <w:top w:val="nil"/>
              <w:left w:val="nil"/>
              <w:bottom w:val="single" w:sz="4" w:space="0" w:color="000000"/>
              <w:right w:val="single" w:sz="4" w:space="0" w:color="000000"/>
            </w:tcBorders>
            <w:shd w:val="clear" w:color="auto" w:fill="auto"/>
            <w:noWrap/>
            <w:vAlign w:val="center"/>
            <w:hideMark/>
          </w:tcPr>
          <w:p w14:paraId="6DE829D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E9A2E2A" w14:textId="3CA403A6"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2.40</w:t>
            </w:r>
          </w:p>
        </w:tc>
      </w:tr>
      <w:tr w:rsidR="00A00E67" w:rsidRPr="00A00E67" w14:paraId="3E7DBF8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94CF460"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12</w:t>
            </w:r>
          </w:p>
        </w:tc>
        <w:tc>
          <w:tcPr>
            <w:tcW w:w="1061" w:type="pct"/>
            <w:tcBorders>
              <w:top w:val="nil"/>
              <w:left w:val="nil"/>
              <w:bottom w:val="single" w:sz="4" w:space="0" w:color="000000"/>
              <w:right w:val="single" w:sz="4" w:space="0" w:color="000000"/>
            </w:tcBorders>
            <w:shd w:val="clear" w:color="auto" w:fill="auto"/>
            <w:vAlign w:val="center"/>
            <w:hideMark/>
          </w:tcPr>
          <w:p w14:paraId="7847E3B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研究生常见心理问题识别与应对</w:t>
            </w:r>
          </w:p>
        </w:tc>
        <w:tc>
          <w:tcPr>
            <w:tcW w:w="2992" w:type="pct"/>
            <w:tcBorders>
              <w:top w:val="nil"/>
              <w:left w:val="nil"/>
              <w:bottom w:val="single" w:sz="4" w:space="0" w:color="000000"/>
              <w:right w:val="single" w:sz="4" w:space="0" w:color="000000"/>
            </w:tcBorders>
            <w:shd w:val="clear" w:color="auto" w:fill="auto"/>
            <w:vAlign w:val="center"/>
            <w:hideMark/>
          </w:tcPr>
          <w:p w14:paraId="78F798F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本课程从研究生心理健康现状入手，针对不同心理问题的分级，介绍了研究生心理问题的发生、表现，以及作为导师与研究生谈论心理问题的应对策略。</w:t>
            </w:r>
          </w:p>
        </w:tc>
        <w:tc>
          <w:tcPr>
            <w:tcW w:w="260" w:type="pct"/>
            <w:tcBorders>
              <w:top w:val="nil"/>
              <w:left w:val="nil"/>
              <w:bottom w:val="single" w:sz="4" w:space="0" w:color="000000"/>
              <w:right w:val="single" w:sz="4" w:space="0" w:color="000000"/>
            </w:tcBorders>
            <w:shd w:val="clear" w:color="auto" w:fill="auto"/>
            <w:noWrap/>
            <w:vAlign w:val="center"/>
            <w:hideMark/>
          </w:tcPr>
          <w:p w14:paraId="4DB4A355"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25EADF1A" w14:textId="7B2CD8DC"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2.30</w:t>
            </w:r>
          </w:p>
        </w:tc>
      </w:tr>
      <w:tr w:rsidR="00A00E67" w:rsidRPr="00A00E67" w14:paraId="45E38BA9"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928E0F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13</w:t>
            </w:r>
          </w:p>
        </w:tc>
        <w:tc>
          <w:tcPr>
            <w:tcW w:w="1061" w:type="pct"/>
            <w:tcBorders>
              <w:top w:val="nil"/>
              <w:left w:val="nil"/>
              <w:bottom w:val="single" w:sz="4" w:space="0" w:color="000000"/>
              <w:right w:val="single" w:sz="4" w:space="0" w:color="000000"/>
            </w:tcBorders>
            <w:shd w:val="clear" w:color="auto" w:fill="auto"/>
            <w:vAlign w:val="center"/>
            <w:hideMark/>
          </w:tcPr>
          <w:p w14:paraId="304BAF3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导师岗位职责及其积极履行</w:t>
            </w:r>
          </w:p>
        </w:tc>
        <w:tc>
          <w:tcPr>
            <w:tcW w:w="2992" w:type="pct"/>
            <w:tcBorders>
              <w:top w:val="nil"/>
              <w:left w:val="nil"/>
              <w:bottom w:val="single" w:sz="4" w:space="0" w:color="000000"/>
              <w:right w:val="single" w:sz="4" w:space="0" w:color="000000"/>
            </w:tcBorders>
            <w:shd w:val="clear" w:color="auto" w:fill="auto"/>
            <w:vAlign w:val="center"/>
            <w:hideMark/>
          </w:tcPr>
          <w:p w14:paraId="628E778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本课程结合优秀导师案例，介绍对导师育人职责的思考。</w:t>
            </w:r>
          </w:p>
        </w:tc>
        <w:tc>
          <w:tcPr>
            <w:tcW w:w="260" w:type="pct"/>
            <w:tcBorders>
              <w:top w:val="nil"/>
              <w:left w:val="nil"/>
              <w:bottom w:val="single" w:sz="4" w:space="0" w:color="000000"/>
              <w:right w:val="single" w:sz="4" w:space="0" w:color="000000"/>
            </w:tcBorders>
            <w:shd w:val="clear" w:color="auto" w:fill="auto"/>
            <w:noWrap/>
            <w:vAlign w:val="center"/>
            <w:hideMark/>
          </w:tcPr>
          <w:p w14:paraId="0E8C2AA5"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324CC30D" w14:textId="02885CCC"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1.98</w:t>
            </w:r>
          </w:p>
        </w:tc>
      </w:tr>
      <w:tr w:rsidR="00A00E67" w:rsidRPr="00A00E67" w14:paraId="4EE79009"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571A63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14</w:t>
            </w:r>
          </w:p>
        </w:tc>
        <w:tc>
          <w:tcPr>
            <w:tcW w:w="1061" w:type="pct"/>
            <w:tcBorders>
              <w:top w:val="nil"/>
              <w:left w:val="nil"/>
              <w:bottom w:val="single" w:sz="4" w:space="0" w:color="000000"/>
              <w:right w:val="single" w:sz="4" w:space="0" w:color="000000"/>
            </w:tcBorders>
            <w:shd w:val="clear" w:color="auto" w:fill="auto"/>
            <w:vAlign w:val="center"/>
            <w:hideMark/>
          </w:tcPr>
          <w:p w14:paraId="340355D1"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正德明理，精工致远－《工程伦理》课程思政建设</w:t>
            </w:r>
          </w:p>
        </w:tc>
        <w:tc>
          <w:tcPr>
            <w:tcW w:w="2992" w:type="pct"/>
            <w:tcBorders>
              <w:top w:val="nil"/>
              <w:left w:val="nil"/>
              <w:bottom w:val="single" w:sz="4" w:space="0" w:color="000000"/>
              <w:right w:val="single" w:sz="4" w:space="0" w:color="000000"/>
            </w:tcBorders>
            <w:shd w:val="clear" w:color="auto" w:fill="auto"/>
            <w:vAlign w:val="center"/>
            <w:hideMark/>
          </w:tcPr>
          <w:p w14:paraId="7EFFFCB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本课程介绍了北京理工大学工程伦理教学案例，围绕“以德为先”发展理念将创新工程教育融入伦理教育，分享了实施思政融通的若干工程伦理教学策略。</w:t>
            </w:r>
          </w:p>
        </w:tc>
        <w:tc>
          <w:tcPr>
            <w:tcW w:w="260" w:type="pct"/>
            <w:tcBorders>
              <w:top w:val="nil"/>
              <w:left w:val="nil"/>
              <w:bottom w:val="single" w:sz="4" w:space="0" w:color="000000"/>
              <w:right w:val="single" w:sz="4" w:space="0" w:color="000000"/>
            </w:tcBorders>
            <w:shd w:val="clear" w:color="auto" w:fill="auto"/>
            <w:noWrap/>
            <w:vAlign w:val="center"/>
            <w:hideMark/>
          </w:tcPr>
          <w:p w14:paraId="3D8F688D"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41AAC22A" w14:textId="445CAEB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0.58</w:t>
            </w:r>
          </w:p>
        </w:tc>
      </w:tr>
      <w:tr w:rsidR="00A00E67" w:rsidRPr="00A00E67" w14:paraId="026802A5"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48D8DC0"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15</w:t>
            </w:r>
          </w:p>
        </w:tc>
        <w:tc>
          <w:tcPr>
            <w:tcW w:w="1061" w:type="pct"/>
            <w:tcBorders>
              <w:top w:val="nil"/>
              <w:left w:val="nil"/>
              <w:bottom w:val="single" w:sz="4" w:space="0" w:color="000000"/>
              <w:right w:val="single" w:sz="4" w:space="0" w:color="000000"/>
            </w:tcBorders>
            <w:shd w:val="clear" w:color="auto" w:fill="auto"/>
            <w:vAlign w:val="center"/>
            <w:hideMark/>
          </w:tcPr>
          <w:p w14:paraId="6583C87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课程与思政，如何同向同行</w:t>
            </w:r>
          </w:p>
        </w:tc>
        <w:tc>
          <w:tcPr>
            <w:tcW w:w="2992" w:type="pct"/>
            <w:tcBorders>
              <w:top w:val="nil"/>
              <w:left w:val="nil"/>
              <w:bottom w:val="single" w:sz="4" w:space="0" w:color="000000"/>
              <w:right w:val="single" w:sz="4" w:space="0" w:color="000000"/>
            </w:tcBorders>
            <w:shd w:val="clear" w:color="auto" w:fill="auto"/>
            <w:vAlign w:val="center"/>
            <w:hideMark/>
          </w:tcPr>
          <w:p w14:paraId="0BAEE65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本课程介绍了课程与思政如何同向同行，专业学位研究生的职业成长路径等内容。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4FC727F0"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265412F5" w14:textId="32A85E15"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0.96</w:t>
            </w:r>
          </w:p>
        </w:tc>
      </w:tr>
      <w:tr w:rsidR="00A00E67" w:rsidRPr="00A00E67" w14:paraId="3CA733E7"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B3A2BE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16</w:t>
            </w:r>
          </w:p>
        </w:tc>
        <w:tc>
          <w:tcPr>
            <w:tcW w:w="1061" w:type="pct"/>
            <w:tcBorders>
              <w:top w:val="nil"/>
              <w:left w:val="nil"/>
              <w:bottom w:val="single" w:sz="4" w:space="0" w:color="000000"/>
              <w:right w:val="single" w:sz="4" w:space="0" w:color="000000"/>
            </w:tcBorders>
            <w:shd w:val="clear" w:color="auto" w:fill="auto"/>
            <w:vAlign w:val="center"/>
            <w:hideMark/>
          </w:tcPr>
          <w:p w14:paraId="31B37DC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研究生导师角色职责中的人文关怀</w:t>
            </w:r>
          </w:p>
        </w:tc>
        <w:tc>
          <w:tcPr>
            <w:tcW w:w="2992" w:type="pct"/>
            <w:tcBorders>
              <w:top w:val="nil"/>
              <w:left w:val="nil"/>
              <w:bottom w:val="single" w:sz="4" w:space="0" w:color="000000"/>
              <w:right w:val="single" w:sz="4" w:space="0" w:color="000000"/>
            </w:tcBorders>
            <w:shd w:val="clear" w:color="auto" w:fill="auto"/>
            <w:vAlign w:val="center"/>
            <w:hideMark/>
          </w:tcPr>
          <w:p w14:paraId="4DED676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本课程分享了导师的人文关怀：内涵、能力要素与实现路径等内容。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27A4BD07"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为师为范</w:t>
            </w:r>
          </w:p>
        </w:tc>
        <w:tc>
          <w:tcPr>
            <w:tcW w:w="418" w:type="pct"/>
            <w:tcBorders>
              <w:top w:val="nil"/>
              <w:left w:val="nil"/>
              <w:bottom w:val="single" w:sz="4" w:space="0" w:color="000000"/>
              <w:right w:val="single" w:sz="4" w:space="0" w:color="000000"/>
            </w:tcBorders>
            <w:shd w:val="clear" w:color="auto" w:fill="auto"/>
            <w:noWrap/>
            <w:vAlign w:val="center"/>
            <w:hideMark/>
          </w:tcPr>
          <w:p w14:paraId="75F46A84" w14:textId="002E18CF"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0.80</w:t>
            </w:r>
          </w:p>
        </w:tc>
      </w:tr>
      <w:tr w:rsidR="00A00E67" w:rsidRPr="00A00E67" w14:paraId="3783FE7F"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57EF8C3"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17</w:t>
            </w:r>
          </w:p>
        </w:tc>
        <w:tc>
          <w:tcPr>
            <w:tcW w:w="1061" w:type="pct"/>
            <w:tcBorders>
              <w:top w:val="nil"/>
              <w:left w:val="nil"/>
              <w:bottom w:val="single" w:sz="4" w:space="0" w:color="000000"/>
              <w:right w:val="single" w:sz="4" w:space="0" w:color="000000"/>
            </w:tcBorders>
            <w:shd w:val="clear" w:color="auto" w:fill="auto"/>
            <w:vAlign w:val="center"/>
            <w:hideMark/>
          </w:tcPr>
          <w:p w14:paraId="231A347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学习新思想，奋进新征程-党的二十大精神解读</w:t>
            </w:r>
          </w:p>
        </w:tc>
        <w:tc>
          <w:tcPr>
            <w:tcW w:w="2992" w:type="pct"/>
            <w:tcBorders>
              <w:top w:val="nil"/>
              <w:left w:val="nil"/>
              <w:bottom w:val="single" w:sz="4" w:space="0" w:color="000000"/>
              <w:right w:val="single" w:sz="4" w:space="0" w:color="000000"/>
            </w:tcBorders>
            <w:shd w:val="clear" w:color="auto" w:fill="auto"/>
            <w:vAlign w:val="center"/>
            <w:hideMark/>
          </w:tcPr>
          <w:p w14:paraId="3F5CB61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本课程介绍了走中国特色社会主义道路、以敢于斗争的精神姿态向着第二个百年奋斗目标前进等内容。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62C274E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四史教育</w:t>
            </w:r>
          </w:p>
        </w:tc>
        <w:tc>
          <w:tcPr>
            <w:tcW w:w="418" w:type="pct"/>
            <w:tcBorders>
              <w:top w:val="nil"/>
              <w:left w:val="nil"/>
              <w:bottom w:val="single" w:sz="4" w:space="0" w:color="000000"/>
              <w:right w:val="single" w:sz="4" w:space="0" w:color="000000"/>
            </w:tcBorders>
            <w:shd w:val="clear" w:color="auto" w:fill="auto"/>
            <w:noWrap/>
            <w:vAlign w:val="center"/>
            <w:hideMark/>
          </w:tcPr>
          <w:p w14:paraId="590BDF57" w14:textId="037A7420"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0.98</w:t>
            </w:r>
          </w:p>
        </w:tc>
      </w:tr>
      <w:tr w:rsidR="00A00E67" w:rsidRPr="00A00E67" w14:paraId="29301AF6" w14:textId="77777777" w:rsidTr="003A42E4">
        <w:trPr>
          <w:trHeight w:val="1437"/>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DC72B92"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18</w:t>
            </w:r>
          </w:p>
        </w:tc>
        <w:tc>
          <w:tcPr>
            <w:tcW w:w="1061" w:type="pct"/>
            <w:tcBorders>
              <w:top w:val="nil"/>
              <w:left w:val="nil"/>
              <w:bottom w:val="single" w:sz="4" w:space="0" w:color="000000"/>
              <w:right w:val="single" w:sz="4" w:space="0" w:color="000000"/>
            </w:tcBorders>
            <w:shd w:val="clear" w:color="auto" w:fill="auto"/>
            <w:vAlign w:val="center"/>
            <w:hideMark/>
          </w:tcPr>
          <w:p w14:paraId="3CDF6D4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深刻理解新时代取得的伟大成就</w:t>
            </w:r>
          </w:p>
        </w:tc>
        <w:tc>
          <w:tcPr>
            <w:tcW w:w="2992" w:type="pct"/>
            <w:tcBorders>
              <w:top w:val="nil"/>
              <w:left w:val="nil"/>
              <w:bottom w:val="single" w:sz="4" w:space="0" w:color="000000"/>
              <w:right w:val="single" w:sz="4" w:space="0" w:color="000000"/>
            </w:tcBorders>
            <w:shd w:val="clear" w:color="auto" w:fill="auto"/>
            <w:vAlign w:val="center"/>
            <w:hideMark/>
          </w:tcPr>
          <w:p w14:paraId="62705CE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本课程介绍了全面把握新时代伟大变革的深刻内涵和重大意义、新时代党和国家事业取得的历史性成就、实现中华民族伟大复兴宏伟目标的前进力量等内容。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0BA95D3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四史教育</w:t>
            </w:r>
          </w:p>
        </w:tc>
        <w:tc>
          <w:tcPr>
            <w:tcW w:w="418" w:type="pct"/>
            <w:tcBorders>
              <w:top w:val="nil"/>
              <w:left w:val="nil"/>
              <w:bottom w:val="single" w:sz="4" w:space="0" w:color="000000"/>
              <w:right w:val="single" w:sz="4" w:space="0" w:color="000000"/>
            </w:tcBorders>
            <w:shd w:val="clear" w:color="auto" w:fill="auto"/>
            <w:noWrap/>
            <w:vAlign w:val="center"/>
            <w:hideMark/>
          </w:tcPr>
          <w:p w14:paraId="7B69E982" w14:textId="0BC5A893"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1.09</w:t>
            </w:r>
          </w:p>
        </w:tc>
      </w:tr>
      <w:tr w:rsidR="00A00E67" w:rsidRPr="00A00E67" w14:paraId="44E74D86"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587173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19</w:t>
            </w:r>
          </w:p>
        </w:tc>
        <w:tc>
          <w:tcPr>
            <w:tcW w:w="1061" w:type="pct"/>
            <w:tcBorders>
              <w:top w:val="nil"/>
              <w:left w:val="nil"/>
              <w:bottom w:val="single" w:sz="4" w:space="0" w:color="000000"/>
              <w:right w:val="single" w:sz="4" w:space="0" w:color="000000"/>
            </w:tcBorders>
            <w:shd w:val="clear" w:color="auto" w:fill="auto"/>
            <w:vAlign w:val="center"/>
            <w:hideMark/>
          </w:tcPr>
          <w:p w14:paraId="1A92C6F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学位制度变革与高层次人才培养创新</w:t>
            </w:r>
          </w:p>
        </w:tc>
        <w:tc>
          <w:tcPr>
            <w:tcW w:w="2992" w:type="pct"/>
            <w:tcBorders>
              <w:top w:val="nil"/>
              <w:left w:val="nil"/>
              <w:bottom w:val="single" w:sz="4" w:space="0" w:color="000000"/>
              <w:right w:val="single" w:sz="4" w:space="0" w:color="000000"/>
            </w:tcBorders>
            <w:shd w:val="clear" w:color="auto" w:fill="auto"/>
            <w:vAlign w:val="center"/>
            <w:hideMark/>
          </w:tcPr>
          <w:p w14:paraId="0BE7C2B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国外学位制度的历史概况及中国学位制度与研究生教育的历史变迁，分析了中国学位与研究生教育体系及其特色，探讨了面向未来发展的若干重要问题，强调了学位与研究生教育改革发展要始终坚持习近平新时代中国特色社会主义思想和党的教育方针，为党和国家事业发展培养造就大批德才兼备的高层次人才。</w:t>
            </w:r>
          </w:p>
        </w:tc>
        <w:tc>
          <w:tcPr>
            <w:tcW w:w="260" w:type="pct"/>
            <w:tcBorders>
              <w:top w:val="nil"/>
              <w:left w:val="nil"/>
              <w:bottom w:val="single" w:sz="4" w:space="0" w:color="000000"/>
              <w:right w:val="single" w:sz="4" w:space="0" w:color="000000"/>
            </w:tcBorders>
            <w:shd w:val="clear" w:color="auto" w:fill="auto"/>
            <w:noWrap/>
            <w:vAlign w:val="center"/>
            <w:hideMark/>
          </w:tcPr>
          <w:p w14:paraId="552640F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37975D69" w14:textId="38E0D30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1.20</w:t>
            </w:r>
          </w:p>
        </w:tc>
      </w:tr>
      <w:tr w:rsidR="00A00E67" w:rsidRPr="00A00E67" w14:paraId="06A12AF2"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895F95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20</w:t>
            </w:r>
          </w:p>
        </w:tc>
        <w:tc>
          <w:tcPr>
            <w:tcW w:w="1061" w:type="pct"/>
            <w:tcBorders>
              <w:top w:val="nil"/>
              <w:left w:val="nil"/>
              <w:bottom w:val="single" w:sz="4" w:space="0" w:color="000000"/>
              <w:right w:val="single" w:sz="4" w:space="0" w:color="000000"/>
            </w:tcBorders>
            <w:shd w:val="clear" w:color="auto" w:fill="auto"/>
            <w:vAlign w:val="center"/>
            <w:hideMark/>
          </w:tcPr>
          <w:p w14:paraId="2C8BCC3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专业学位研究生教育综合改革路径探索与案例分享</w:t>
            </w:r>
          </w:p>
        </w:tc>
        <w:tc>
          <w:tcPr>
            <w:tcW w:w="2992" w:type="pct"/>
            <w:tcBorders>
              <w:top w:val="nil"/>
              <w:left w:val="nil"/>
              <w:bottom w:val="single" w:sz="4" w:space="0" w:color="000000"/>
              <w:right w:val="single" w:sz="4" w:space="0" w:color="000000"/>
            </w:tcBorders>
            <w:shd w:val="clear" w:color="auto" w:fill="auto"/>
            <w:vAlign w:val="center"/>
            <w:hideMark/>
          </w:tcPr>
          <w:p w14:paraId="0A25F74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本课程介绍了我国专业学位发展的脉络，以清华大学专业学位研究生教育为案例，详细介绍了项目制培养、研究生能力提升证书、研究生实践课程的主要内容，并提出了相关思考和建议。</w:t>
            </w:r>
          </w:p>
        </w:tc>
        <w:tc>
          <w:tcPr>
            <w:tcW w:w="260" w:type="pct"/>
            <w:tcBorders>
              <w:top w:val="nil"/>
              <w:left w:val="nil"/>
              <w:bottom w:val="single" w:sz="4" w:space="0" w:color="000000"/>
              <w:right w:val="single" w:sz="4" w:space="0" w:color="000000"/>
            </w:tcBorders>
            <w:shd w:val="clear" w:color="auto" w:fill="auto"/>
            <w:noWrap/>
            <w:vAlign w:val="center"/>
            <w:hideMark/>
          </w:tcPr>
          <w:p w14:paraId="6D8C3974"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37850F1A" w14:textId="240D5D7F"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2.20</w:t>
            </w:r>
          </w:p>
        </w:tc>
      </w:tr>
      <w:tr w:rsidR="00A00E67" w:rsidRPr="00A00E67" w14:paraId="7BB40DF0"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FF938D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lastRenderedPageBreak/>
              <w:t>21</w:t>
            </w:r>
          </w:p>
        </w:tc>
        <w:tc>
          <w:tcPr>
            <w:tcW w:w="1061" w:type="pct"/>
            <w:tcBorders>
              <w:top w:val="nil"/>
              <w:left w:val="nil"/>
              <w:bottom w:val="single" w:sz="4" w:space="0" w:color="000000"/>
              <w:right w:val="single" w:sz="4" w:space="0" w:color="000000"/>
            </w:tcBorders>
            <w:shd w:val="clear" w:color="auto" w:fill="auto"/>
            <w:vAlign w:val="center"/>
            <w:hideMark/>
          </w:tcPr>
          <w:p w14:paraId="470763E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工程专业学位研究生培养体系构建与实践</w:t>
            </w:r>
          </w:p>
        </w:tc>
        <w:tc>
          <w:tcPr>
            <w:tcW w:w="2992" w:type="pct"/>
            <w:tcBorders>
              <w:top w:val="nil"/>
              <w:left w:val="nil"/>
              <w:bottom w:val="single" w:sz="4" w:space="0" w:color="000000"/>
              <w:right w:val="single" w:sz="4" w:space="0" w:color="000000"/>
            </w:tcBorders>
            <w:shd w:val="clear" w:color="auto" w:fill="auto"/>
            <w:vAlign w:val="center"/>
            <w:hideMark/>
          </w:tcPr>
          <w:p w14:paraId="01908B3C"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本课程以北京理工大学为例，介绍了院校在新时代研究生教育改革发展中，精准确立培养目标，构建研究生培养体系的相关实践与思考。</w:t>
            </w:r>
          </w:p>
        </w:tc>
        <w:tc>
          <w:tcPr>
            <w:tcW w:w="260" w:type="pct"/>
            <w:tcBorders>
              <w:top w:val="nil"/>
              <w:left w:val="nil"/>
              <w:bottom w:val="single" w:sz="4" w:space="0" w:color="000000"/>
              <w:right w:val="single" w:sz="4" w:space="0" w:color="000000"/>
            </w:tcBorders>
            <w:shd w:val="clear" w:color="auto" w:fill="auto"/>
            <w:noWrap/>
            <w:vAlign w:val="center"/>
            <w:hideMark/>
          </w:tcPr>
          <w:p w14:paraId="213A290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4F43EBA6" w14:textId="2FC8A31C"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2.50</w:t>
            </w:r>
          </w:p>
        </w:tc>
      </w:tr>
      <w:tr w:rsidR="00A00E67" w:rsidRPr="00A00E67" w14:paraId="2CF2FF6A"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587B56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w:t>
            </w:r>
          </w:p>
        </w:tc>
        <w:tc>
          <w:tcPr>
            <w:tcW w:w="1061" w:type="pct"/>
            <w:tcBorders>
              <w:top w:val="nil"/>
              <w:left w:val="nil"/>
              <w:bottom w:val="single" w:sz="4" w:space="0" w:color="000000"/>
              <w:right w:val="single" w:sz="4" w:space="0" w:color="000000"/>
            </w:tcBorders>
            <w:shd w:val="clear" w:color="auto" w:fill="auto"/>
            <w:vAlign w:val="center"/>
            <w:hideMark/>
          </w:tcPr>
          <w:p w14:paraId="0247557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关于研究生教育质量保障体系的思考</w:t>
            </w:r>
          </w:p>
        </w:tc>
        <w:tc>
          <w:tcPr>
            <w:tcW w:w="2992" w:type="pct"/>
            <w:tcBorders>
              <w:top w:val="nil"/>
              <w:left w:val="nil"/>
              <w:bottom w:val="single" w:sz="4" w:space="0" w:color="000000"/>
              <w:right w:val="single" w:sz="4" w:space="0" w:color="000000"/>
            </w:tcBorders>
            <w:shd w:val="clear" w:color="auto" w:fill="auto"/>
            <w:vAlign w:val="center"/>
            <w:hideMark/>
          </w:tcPr>
          <w:p w14:paraId="05A755C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围绕质量保障体系建设的理论研究、政策制度、改革实践等主要内容，聚焦研究生教育质量保障体系建设、学位授权审核、合格评估、水平评估、学位点建设等专题，从理论、政策和高校实践三个层面探讨了如何以评促改、以评促建与人才培养质量相联系的要点。</w:t>
            </w:r>
          </w:p>
        </w:tc>
        <w:tc>
          <w:tcPr>
            <w:tcW w:w="260" w:type="pct"/>
            <w:tcBorders>
              <w:top w:val="nil"/>
              <w:left w:val="nil"/>
              <w:bottom w:val="single" w:sz="4" w:space="0" w:color="000000"/>
              <w:right w:val="single" w:sz="4" w:space="0" w:color="000000"/>
            </w:tcBorders>
            <w:shd w:val="clear" w:color="auto" w:fill="auto"/>
            <w:noWrap/>
            <w:vAlign w:val="center"/>
            <w:hideMark/>
          </w:tcPr>
          <w:p w14:paraId="7F939EEB"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5D44A175" w14:textId="3F263812"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2.90</w:t>
            </w:r>
          </w:p>
        </w:tc>
      </w:tr>
      <w:tr w:rsidR="00A00E67" w:rsidRPr="00A00E67" w14:paraId="73A4183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13D4D4B"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23</w:t>
            </w:r>
          </w:p>
        </w:tc>
        <w:tc>
          <w:tcPr>
            <w:tcW w:w="1061" w:type="pct"/>
            <w:tcBorders>
              <w:top w:val="nil"/>
              <w:left w:val="nil"/>
              <w:bottom w:val="single" w:sz="4" w:space="0" w:color="000000"/>
              <w:right w:val="single" w:sz="4" w:space="0" w:color="000000"/>
            </w:tcBorders>
            <w:shd w:val="clear" w:color="auto" w:fill="auto"/>
            <w:vAlign w:val="center"/>
            <w:hideMark/>
          </w:tcPr>
          <w:p w14:paraId="27CAEA2C"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以评促建：学位授权点合格评估与研究生培养全过程管理</w:t>
            </w:r>
          </w:p>
        </w:tc>
        <w:tc>
          <w:tcPr>
            <w:tcW w:w="2992" w:type="pct"/>
            <w:tcBorders>
              <w:top w:val="nil"/>
              <w:left w:val="nil"/>
              <w:bottom w:val="single" w:sz="4" w:space="0" w:color="000000"/>
              <w:right w:val="single" w:sz="4" w:space="0" w:color="000000"/>
            </w:tcBorders>
            <w:shd w:val="clear" w:color="auto" w:fill="auto"/>
            <w:vAlign w:val="center"/>
            <w:hideMark/>
          </w:tcPr>
          <w:p w14:paraId="2E866F1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本课程围绕质量保证体系建设的内容和要求，聚焦《关于进一步严格规范学位与研究生教育质量管理的若干意见》，解读了加强研究生培养全过程管理的难点、要点。</w:t>
            </w:r>
          </w:p>
        </w:tc>
        <w:tc>
          <w:tcPr>
            <w:tcW w:w="260" w:type="pct"/>
            <w:tcBorders>
              <w:top w:val="nil"/>
              <w:left w:val="nil"/>
              <w:bottom w:val="single" w:sz="4" w:space="0" w:color="000000"/>
              <w:right w:val="single" w:sz="4" w:space="0" w:color="000000"/>
            </w:tcBorders>
            <w:shd w:val="clear" w:color="auto" w:fill="auto"/>
            <w:noWrap/>
            <w:vAlign w:val="center"/>
            <w:hideMark/>
          </w:tcPr>
          <w:p w14:paraId="76612AF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08BA7195" w14:textId="3841EEA5"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2.70</w:t>
            </w:r>
          </w:p>
        </w:tc>
      </w:tr>
      <w:tr w:rsidR="00A00E67" w:rsidRPr="00A00E67" w14:paraId="249001B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94149C5"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24</w:t>
            </w:r>
          </w:p>
        </w:tc>
        <w:tc>
          <w:tcPr>
            <w:tcW w:w="1061" w:type="pct"/>
            <w:tcBorders>
              <w:top w:val="nil"/>
              <w:left w:val="nil"/>
              <w:bottom w:val="single" w:sz="4" w:space="0" w:color="000000"/>
              <w:right w:val="single" w:sz="4" w:space="0" w:color="000000"/>
            </w:tcBorders>
            <w:shd w:val="clear" w:color="auto" w:fill="auto"/>
            <w:vAlign w:val="center"/>
            <w:hideMark/>
          </w:tcPr>
          <w:p w14:paraId="58B8047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研究生学位论文评价与质量保障体系建设</w:t>
            </w:r>
          </w:p>
        </w:tc>
        <w:tc>
          <w:tcPr>
            <w:tcW w:w="2992" w:type="pct"/>
            <w:tcBorders>
              <w:top w:val="nil"/>
              <w:left w:val="nil"/>
              <w:bottom w:val="single" w:sz="4" w:space="0" w:color="000000"/>
              <w:right w:val="single" w:sz="4" w:space="0" w:color="000000"/>
            </w:tcBorders>
            <w:shd w:val="clear" w:color="auto" w:fill="auto"/>
            <w:vAlign w:val="center"/>
            <w:hideMark/>
          </w:tcPr>
          <w:p w14:paraId="2690842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围绕质量保障体系建设的理论研究、政策制度、改革实践等主要内容，聚焦研究生教育质量保障体系建设、学位授权审核、合格评估、水平评估、学位点建设等专题，从理论、政策和高校实践三个层面探讨了如何以评促改、以评促建与人才培养质量相联系的要点。</w:t>
            </w:r>
          </w:p>
        </w:tc>
        <w:tc>
          <w:tcPr>
            <w:tcW w:w="260" w:type="pct"/>
            <w:tcBorders>
              <w:top w:val="nil"/>
              <w:left w:val="nil"/>
              <w:bottom w:val="single" w:sz="4" w:space="0" w:color="000000"/>
              <w:right w:val="single" w:sz="4" w:space="0" w:color="000000"/>
            </w:tcBorders>
            <w:shd w:val="clear" w:color="auto" w:fill="auto"/>
            <w:noWrap/>
            <w:vAlign w:val="center"/>
            <w:hideMark/>
          </w:tcPr>
          <w:p w14:paraId="112B939C"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4FCA724E" w14:textId="546CFD31"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2.80</w:t>
            </w:r>
          </w:p>
        </w:tc>
      </w:tr>
      <w:tr w:rsidR="00A00E67" w:rsidRPr="00A00E67" w14:paraId="71534C98"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39F7C9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25</w:t>
            </w:r>
          </w:p>
        </w:tc>
        <w:tc>
          <w:tcPr>
            <w:tcW w:w="1061" w:type="pct"/>
            <w:tcBorders>
              <w:top w:val="nil"/>
              <w:left w:val="nil"/>
              <w:bottom w:val="single" w:sz="4" w:space="0" w:color="000000"/>
              <w:right w:val="single" w:sz="4" w:space="0" w:color="000000"/>
            </w:tcBorders>
            <w:shd w:val="clear" w:color="auto" w:fill="auto"/>
            <w:vAlign w:val="center"/>
            <w:hideMark/>
          </w:tcPr>
          <w:p w14:paraId="587C5B6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研究生培养质量现状与提升策略</w:t>
            </w:r>
          </w:p>
        </w:tc>
        <w:tc>
          <w:tcPr>
            <w:tcW w:w="2992" w:type="pct"/>
            <w:tcBorders>
              <w:top w:val="nil"/>
              <w:left w:val="nil"/>
              <w:bottom w:val="single" w:sz="4" w:space="0" w:color="000000"/>
              <w:right w:val="single" w:sz="4" w:space="0" w:color="000000"/>
            </w:tcBorders>
            <w:shd w:val="clear" w:color="auto" w:fill="auto"/>
            <w:vAlign w:val="center"/>
            <w:hideMark/>
          </w:tcPr>
          <w:p w14:paraId="35CBDD2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本课程从研究生满意度、培养过程、培养结果等不同角度，介绍并分析了提升研究生满意度，以及提高研究生技能和职业竞争力的若干思路。</w:t>
            </w:r>
          </w:p>
        </w:tc>
        <w:tc>
          <w:tcPr>
            <w:tcW w:w="260" w:type="pct"/>
            <w:tcBorders>
              <w:top w:val="nil"/>
              <w:left w:val="nil"/>
              <w:bottom w:val="single" w:sz="4" w:space="0" w:color="000000"/>
              <w:right w:val="single" w:sz="4" w:space="0" w:color="000000"/>
            </w:tcBorders>
            <w:shd w:val="clear" w:color="auto" w:fill="auto"/>
            <w:noWrap/>
            <w:vAlign w:val="center"/>
            <w:hideMark/>
          </w:tcPr>
          <w:p w14:paraId="68F10839"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01D55CBC" w14:textId="743A250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2.30</w:t>
            </w:r>
          </w:p>
        </w:tc>
      </w:tr>
      <w:tr w:rsidR="00A00E67" w:rsidRPr="00A00E67" w14:paraId="29B7AA58"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3AE5B2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26</w:t>
            </w:r>
          </w:p>
        </w:tc>
        <w:tc>
          <w:tcPr>
            <w:tcW w:w="1061" w:type="pct"/>
            <w:tcBorders>
              <w:top w:val="nil"/>
              <w:left w:val="nil"/>
              <w:bottom w:val="single" w:sz="4" w:space="0" w:color="000000"/>
              <w:right w:val="single" w:sz="4" w:space="0" w:color="000000"/>
            </w:tcBorders>
            <w:shd w:val="clear" w:color="auto" w:fill="auto"/>
            <w:vAlign w:val="center"/>
            <w:hideMark/>
          </w:tcPr>
          <w:p w14:paraId="72ECDD22"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学位授予管理与改革实践</w:t>
            </w:r>
          </w:p>
        </w:tc>
        <w:tc>
          <w:tcPr>
            <w:tcW w:w="2992" w:type="pct"/>
            <w:tcBorders>
              <w:top w:val="nil"/>
              <w:left w:val="nil"/>
              <w:bottom w:val="single" w:sz="4" w:space="0" w:color="000000"/>
              <w:right w:val="single" w:sz="4" w:space="0" w:color="000000"/>
            </w:tcBorders>
            <w:shd w:val="clear" w:color="auto" w:fill="auto"/>
            <w:vAlign w:val="center"/>
            <w:hideMark/>
          </w:tcPr>
          <w:p w14:paraId="03EC510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高等教育法》《学位条例》《学位论文作假行为处理办法》《博士硕士学位论文抽检办法》等相关法律法规，介绍了清华大学下放学位审议学术判断权力、成立交叉学科学位工作委员会、调整校学位委员会工作重点、自主开展博士学位论文评审、完善学位论文创新成果评价等改革举措。</w:t>
            </w:r>
          </w:p>
        </w:tc>
        <w:tc>
          <w:tcPr>
            <w:tcW w:w="260" w:type="pct"/>
            <w:tcBorders>
              <w:top w:val="nil"/>
              <w:left w:val="nil"/>
              <w:bottom w:val="single" w:sz="4" w:space="0" w:color="000000"/>
              <w:right w:val="single" w:sz="4" w:space="0" w:color="000000"/>
            </w:tcBorders>
            <w:shd w:val="clear" w:color="auto" w:fill="auto"/>
            <w:noWrap/>
            <w:vAlign w:val="center"/>
            <w:hideMark/>
          </w:tcPr>
          <w:p w14:paraId="1BEC12FE"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4AA15145" w14:textId="75AC6545"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2.40</w:t>
            </w:r>
          </w:p>
        </w:tc>
      </w:tr>
      <w:tr w:rsidR="00A00E67" w:rsidRPr="00A00E67" w14:paraId="2A3274B6"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60EC97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27</w:t>
            </w:r>
          </w:p>
        </w:tc>
        <w:tc>
          <w:tcPr>
            <w:tcW w:w="1061" w:type="pct"/>
            <w:tcBorders>
              <w:top w:val="nil"/>
              <w:left w:val="nil"/>
              <w:bottom w:val="single" w:sz="4" w:space="0" w:color="000000"/>
              <w:right w:val="single" w:sz="4" w:space="0" w:color="000000"/>
            </w:tcBorders>
            <w:shd w:val="clear" w:color="auto" w:fill="auto"/>
            <w:vAlign w:val="center"/>
            <w:hideMark/>
          </w:tcPr>
          <w:p w14:paraId="005479E2"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研究生导师队伍建设与行为规范要求</w:t>
            </w:r>
          </w:p>
        </w:tc>
        <w:tc>
          <w:tcPr>
            <w:tcW w:w="2992" w:type="pct"/>
            <w:tcBorders>
              <w:top w:val="nil"/>
              <w:left w:val="nil"/>
              <w:bottom w:val="single" w:sz="4" w:space="0" w:color="000000"/>
              <w:right w:val="single" w:sz="4" w:space="0" w:color="000000"/>
            </w:tcBorders>
            <w:shd w:val="clear" w:color="auto" w:fill="auto"/>
            <w:vAlign w:val="center"/>
            <w:hideMark/>
          </w:tcPr>
          <w:p w14:paraId="43D492C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本课程从规模结构、现状特征和问题挑战三个方面，解读了教育部对加强导师队伍建设的政策要求和今后的发展目标，阐述了导师行为基本准则。</w:t>
            </w:r>
          </w:p>
        </w:tc>
        <w:tc>
          <w:tcPr>
            <w:tcW w:w="260" w:type="pct"/>
            <w:tcBorders>
              <w:top w:val="nil"/>
              <w:left w:val="nil"/>
              <w:bottom w:val="single" w:sz="4" w:space="0" w:color="000000"/>
              <w:right w:val="single" w:sz="4" w:space="0" w:color="000000"/>
            </w:tcBorders>
            <w:shd w:val="clear" w:color="auto" w:fill="auto"/>
            <w:noWrap/>
            <w:vAlign w:val="center"/>
            <w:hideMark/>
          </w:tcPr>
          <w:p w14:paraId="4D10385C"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024EF5A5" w14:textId="71B60A8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2.10</w:t>
            </w:r>
          </w:p>
        </w:tc>
      </w:tr>
      <w:tr w:rsidR="00A00E67" w:rsidRPr="00A00E67" w14:paraId="3BBF13F4"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CB445AE"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28</w:t>
            </w:r>
          </w:p>
        </w:tc>
        <w:tc>
          <w:tcPr>
            <w:tcW w:w="1061" w:type="pct"/>
            <w:tcBorders>
              <w:top w:val="nil"/>
              <w:left w:val="nil"/>
              <w:bottom w:val="single" w:sz="4" w:space="0" w:color="000000"/>
              <w:right w:val="single" w:sz="4" w:space="0" w:color="000000"/>
            </w:tcBorders>
            <w:shd w:val="clear" w:color="auto" w:fill="auto"/>
            <w:vAlign w:val="center"/>
            <w:hideMark/>
          </w:tcPr>
          <w:p w14:paraId="5AE213B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关于研究生指导教师队伍建设的若干举措和思考</w:t>
            </w:r>
          </w:p>
        </w:tc>
        <w:tc>
          <w:tcPr>
            <w:tcW w:w="2992" w:type="pct"/>
            <w:tcBorders>
              <w:top w:val="nil"/>
              <w:left w:val="nil"/>
              <w:bottom w:val="single" w:sz="4" w:space="0" w:color="000000"/>
              <w:right w:val="single" w:sz="4" w:space="0" w:color="000000"/>
            </w:tcBorders>
            <w:shd w:val="clear" w:color="auto" w:fill="auto"/>
            <w:vAlign w:val="center"/>
            <w:hideMark/>
          </w:tcPr>
          <w:p w14:paraId="2E1AC50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聚焦研究生教育的特点视角下的导师作用，介绍了清华大学研究生教育改革发展大会提出的十个要点、博导制度改革的主要思路和举措，以及清华大学加强导师队伍培训工作的若干举措，详细阐述了“导学思政”的理念与相关实践。</w:t>
            </w:r>
          </w:p>
        </w:tc>
        <w:tc>
          <w:tcPr>
            <w:tcW w:w="260" w:type="pct"/>
            <w:tcBorders>
              <w:top w:val="nil"/>
              <w:left w:val="nil"/>
              <w:bottom w:val="single" w:sz="4" w:space="0" w:color="000000"/>
              <w:right w:val="single" w:sz="4" w:space="0" w:color="000000"/>
            </w:tcBorders>
            <w:shd w:val="clear" w:color="auto" w:fill="auto"/>
            <w:noWrap/>
            <w:vAlign w:val="center"/>
            <w:hideMark/>
          </w:tcPr>
          <w:p w14:paraId="5405287B"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64EEE474" w14:textId="6FBE4CE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2.20</w:t>
            </w:r>
          </w:p>
        </w:tc>
      </w:tr>
      <w:tr w:rsidR="00A00E67" w:rsidRPr="00A00E67" w14:paraId="7970B9D5"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C6D3B0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29</w:t>
            </w:r>
          </w:p>
        </w:tc>
        <w:tc>
          <w:tcPr>
            <w:tcW w:w="1061" w:type="pct"/>
            <w:tcBorders>
              <w:top w:val="nil"/>
              <w:left w:val="nil"/>
              <w:bottom w:val="single" w:sz="4" w:space="0" w:color="000000"/>
              <w:right w:val="single" w:sz="4" w:space="0" w:color="000000"/>
            </w:tcBorders>
            <w:shd w:val="clear" w:color="auto" w:fill="auto"/>
            <w:vAlign w:val="center"/>
            <w:hideMark/>
          </w:tcPr>
          <w:p w14:paraId="757D542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工程类硕士专业学位研究生培养方案指导意见解读</w:t>
            </w:r>
          </w:p>
        </w:tc>
        <w:tc>
          <w:tcPr>
            <w:tcW w:w="2992" w:type="pct"/>
            <w:tcBorders>
              <w:top w:val="nil"/>
              <w:left w:val="nil"/>
              <w:bottom w:val="single" w:sz="4" w:space="0" w:color="000000"/>
              <w:right w:val="single" w:sz="4" w:space="0" w:color="000000"/>
            </w:tcBorders>
            <w:shd w:val="clear" w:color="auto" w:fill="auto"/>
            <w:vAlign w:val="center"/>
            <w:hideMark/>
          </w:tcPr>
          <w:p w14:paraId="64123E3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本课程以西安电子科技大学电子信息学科专业建设为例，从专业学位研究生教育概述，研究生培养方案内涵，指导意见解读等方面进行解读。</w:t>
            </w:r>
          </w:p>
        </w:tc>
        <w:tc>
          <w:tcPr>
            <w:tcW w:w="260" w:type="pct"/>
            <w:tcBorders>
              <w:top w:val="nil"/>
              <w:left w:val="nil"/>
              <w:bottom w:val="single" w:sz="4" w:space="0" w:color="000000"/>
              <w:right w:val="single" w:sz="4" w:space="0" w:color="000000"/>
            </w:tcBorders>
            <w:shd w:val="clear" w:color="auto" w:fill="auto"/>
            <w:noWrap/>
            <w:vAlign w:val="center"/>
            <w:hideMark/>
          </w:tcPr>
          <w:p w14:paraId="2AEAEE40"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11C2CE4A" w14:textId="729A44B6"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0.89</w:t>
            </w:r>
          </w:p>
        </w:tc>
      </w:tr>
      <w:tr w:rsidR="00A00E67" w:rsidRPr="00A00E67" w14:paraId="3206A4B0"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4960F1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30</w:t>
            </w:r>
          </w:p>
        </w:tc>
        <w:tc>
          <w:tcPr>
            <w:tcW w:w="1061" w:type="pct"/>
            <w:tcBorders>
              <w:top w:val="nil"/>
              <w:left w:val="nil"/>
              <w:bottom w:val="single" w:sz="4" w:space="0" w:color="000000"/>
              <w:right w:val="single" w:sz="4" w:space="0" w:color="000000"/>
            </w:tcBorders>
            <w:shd w:val="clear" w:color="auto" w:fill="auto"/>
            <w:vAlign w:val="center"/>
            <w:hideMark/>
          </w:tcPr>
          <w:p w14:paraId="3BCF041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学科交叉路径与成效评价</w:t>
            </w:r>
          </w:p>
        </w:tc>
        <w:tc>
          <w:tcPr>
            <w:tcW w:w="2992" w:type="pct"/>
            <w:tcBorders>
              <w:top w:val="nil"/>
              <w:left w:val="nil"/>
              <w:bottom w:val="single" w:sz="4" w:space="0" w:color="000000"/>
              <w:right w:val="single" w:sz="4" w:space="0" w:color="000000"/>
            </w:tcBorders>
            <w:shd w:val="clear" w:color="auto" w:fill="auto"/>
            <w:vAlign w:val="center"/>
            <w:hideMark/>
          </w:tcPr>
          <w:p w14:paraId="0FDC822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本课程介绍了学科交叉的理论分类、实现路径及成效评价等内容。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1979FAEC"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779BE0A9" w14:textId="234AFCD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0.87</w:t>
            </w:r>
          </w:p>
        </w:tc>
      </w:tr>
      <w:tr w:rsidR="00A00E67" w:rsidRPr="00A00E67" w14:paraId="0DC28374"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3E8BFF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lastRenderedPageBreak/>
              <w:t>31</w:t>
            </w:r>
          </w:p>
        </w:tc>
        <w:tc>
          <w:tcPr>
            <w:tcW w:w="1061" w:type="pct"/>
            <w:tcBorders>
              <w:top w:val="nil"/>
              <w:left w:val="nil"/>
              <w:bottom w:val="single" w:sz="4" w:space="0" w:color="000000"/>
              <w:right w:val="single" w:sz="4" w:space="0" w:color="000000"/>
            </w:tcBorders>
            <w:shd w:val="clear" w:color="auto" w:fill="auto"/>
            <w:vAlign w:val="center"/>
            <w:hideMark/>
          </w:tcPr>
          <w:p w14:paraId="531A34C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新版研究生教育学科专业目录变化及其管理办法解读</w:t>
            </w:r>
          </w:p>
        </w:tc>
        <w:tc>
          <w:tcPr>
            <w:tcW w:w="2992" w:type="pct"/>
            <w:tcBorders>
              <w:top w:val="nil"/>
              <w:left w:val="nil"/>
              <w:bottom w:val="single" w:sz="4" w:space="0" w:color="000000"/>
              <w:right w:val="single" w:sz="4" w:space="0" w:color="000000"/>
            </w:tcBorders>
            <w:shd w:val="clear" w:color="auto" w:fill="auto"/>
            <w:vAlign w:val="center"/>
            <w:hideMark/>
          </w:tcPr>
          <w:p w14:paraId="2F66ED3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本课程解读了《研究生教育学科专业目录（2022年）》《研究生教育学科专业目录管理办法》的主要变化、创新举措及其对研究生培养、学位授予工作的影响。</w:t>
            </w:r>
          </w:p>
        </w:tc>
        <w:tc>
          <w:tcPr>
            <w:tcW w:w="260" w:type="pct"/>
            <w:tcBorders>
              <w:top w:val="nil"/>
              <w:left w:val="nil"/>
              <w:bottom w:val="single" w:sz="4" w:space="0" w:color="000000"/>
              <w:right w:val="single" w:sz="4" w:space="0" w:color="000000"/>
            </w:tcBorders>
            <w:shd w:val="clear" w:color="auto" w:fill="auto"/>
            <w:noWrap/>
            <w:vAlign w:val="center"/>
            <w:hideMark/>
          </w:tcPr>
          <w:p w14:paraId="1AA8132E"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政策解读</w:t>
            </w:r>
          </w:p>
        </w:tc>
        <w:tc>
          <w:tcPr>
            <w:tcW w:w="418" w:type="pct"/>
            <w:tcBorders>
              <w:top w:val="nil"/>
              <w:left w:val="nil"/>
              <w:bottom w:val="single" w:sz="4" w:space="0" w:color="000000"/>
              <w:right w:val="single" w:sz="4" w:space="0" w:color="000000"/>
            </w:tcBorders>
            <w:shd w:val="clear" w:color="auto" w:fill="auto"/>
            <w:noWrap/>
            <w:vAlign w:val="center"/>
            <w:hideMark/>
          </w:tcPr>
          <w:p w14:paraId="3CF49345" w14:textId="0ED3A92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1.58</w:t>
            </w:r>
          </w:p>
        </w:tc>
      </w:tr>
      <w:tr w:rsidR="00A00E67" w:rsidRPr="00A00E67" w14:paraId="29A773B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A39B44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32</w:t>
            </w:r>
          </w:p>
        </w:tc>
        <w:tc>
          <w:tcPr>
            <w:tcW w:w="1061" w:type="pct"/>
            <w:tcBorders>
              <w:top w:val="nil"/>
              <w:left w:val="nil"/>
              <w:bottom w:val="single" w:sz="4" w:space="0" w:color="000000"/>
              <w:right w:val="single" w:sz="4" w:space="0" w:color="000000"/>
            </w:tcBorders>
            <w:shd w:val="clear" w:color="auto" w:fill="auto"/>
            <w:vAlign w:val="center"/>
            <w:hideMark/>
          </w:tcPr>
          <w:p w14:paraId="12C52DE2"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以系统性思维开展研究生教育理论研究——以《研究生教育学导论》为例</w:t>
            </w:r>
          </w:p>
        </w:tc>
        <w:tc>
          <w:tcPr>
            <w:tcW w:w="2992" w:type="pct"/>
            <w:tcBorders>
              <w:top w:val="nil"/>
              <w:left w:val="nil"/>
              <w:bottom w:val="single" w:sz="4" w:space="0" w:color="000000"/>
              <w:right w:val="single" w:sz="4" w:space="0" w:color="000000"/>
            </w:tcBorders>
            <w:shd w:val="clear" w:color="auto" w:fill="auto"/>
            <w:vAlign w:val="center"/>
            <w:hideMark/>
          </w:tcPr>
          <w:p w14:paraId="317DEBC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本课程以《研究生教育学导论》为例，阐述研究生教育研究的必要性，介绍了《研究生教育学导论》的结构与主要内容，讨论了从传统文化的视角中的导师工作原理和加强系统性理论研究的重要性。</w:t>
            </w:r>
          </w:p>
        </w:tc>
        <w:tc>
          <w:tcPr>
            <w:tcW w:w="260" w:type="pct"/>
            <w:tcBorders>
              <w:top w:val="nil"/>
              <w:left w:val="nil"/>
              <w:bottom w:val="single" w:sz="4" w:space="0" w:color="000000"/>
              <w:right w:val="single" w:sz="4" w:space="0" w:color="000000"/>
            </w:tcBorders>
            <w:shd w:val="clear" w:color="auto" w:fill="auto"/>
            <w:noWrap/>
            <w:vAlign w:val="center"/>
            <w:hideMark/>
          </w:tcPr>
          <w:p w14:paraId="46CAFF5E"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4B39D53" w14:textId="690C9168"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2.70</w:t>
            </w:r>
          </w:p>
        </w:tc>
      </w:tr>
      <w:tr w:rsidR="00A00E67" w:rsidRPr="00A00E67" w14:paraId="50FA869F"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80FD36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33</w:t>
            </w:r>
          </w:p>
        </w:tc>
        <w:tc>
          <w:tcPr>
            <w:tcW w:w="1061" w:type="pct"/>
            <w:tcBorders>
              <w:top w:val="nil"/>
              <w:left w:val="nil"/>
              <w:bottom w:val="single" w:sz="4" w:space="0" w:color="000000"/>
              <w:right w:val="single" w:sz="4" w:space="0" w:color="000000"/>
            </w:tcBorders>
            <w:shd w:val="clear" w:color="auto" w:fill="auto"/>
            <w:vAlign w:val="center"/>
            <w:hideMark/>
          </w:tcPr>
          <w:p w14:paraId="322EFE8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研究生教育研究前沿与论文撰写</w:t>
            </w:r>
          </w:p>
        </w:tc>
        <w:tc>
          <w:tcPr>
            <w:tcW w:w="2992" w:type="pct"/>
            <w:tcBorders>
              <w:top w:val="nil"/>
              <w:left w:val="nil"/>
              <w:bottom w:val="single" w:sz="4" w:space="0" w:color="000000"/>
              <w:right w:val="single" w:sz="4" w:space="0" w:color="000000"/>
            </w:tcBorders>
            <w:shd w:val="clear" w:color="auto" w:fill="auto"/>
            <w:vAlign w:val="center"/>
            <w:hideMark/>
          </w:tcPr>
          <w:p w14:paraId="4FE7332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本课程介绍了研究生教育研究现状与研究生教育研究前沿，并以《学位与研究生教育》期刊收稿及刊发稿件中的问题为案例，介绍研究生教育研究论文的常见问题，对如何写好研究论文提出相关建议。</w:t>
            </w:r>
          </w:p>
        </w:tc>
        <w:tc>
          <w:tcPr>
            <w:tcW w:w="260" w:type="pct"/>
            <w:tcBorders>
              <w:top w:val="nil"/>
              <w:left w:val="nil"/>
              <w:bottom w:val="single" w:sz="4" w:space="0" w:color="000000"/>
              <w:right w:val="single" w:sz="4" w:space="0" w:color="000000"/>
            </w:tcBorders>
            <w:shd w:val="clear" w:color="auto" w:fill="auto"/>
            <w:noWrap/>
            <w:vAlign w:val="center"/>
            <w:hideMark/>
          </w:tcPr>
          <w:p w14:paraId="73A2E650"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4B6A8844" w14:textId="22333FF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2.70</w:t>
            </w:r>
          </w:p>
        </w:tc>
      </w:tr>
      <w:tr w:rsidR="00A00E67" w:rsidRPr="00A00E67" w14:paraId="314C3116"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60B6D82"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34</w:t>
            </w:r>
          </w:p>
        </w:tc>
        <w:tc>
          <w:tcPr>
            <w:tcW w:w="1061" w:type="pct"/>
            <w:tcBorders>
              <w:top w:val="nil"/>
              <w:left w:val="nil"/>
              <w:bottom w:val="single" w:sz="4" w:space="0" w:color="000000"/>
              <w:right w:val="single" w:sz="4" w:space="0" w:color="000000"/>
            </w:tcBorders>
            <w:shd w:val="clear" w:color="auto" w:fill="auto"/>
            <w:vAlign w:val="center"/>
            <w:hideMark/>
          </w:tcPr>
          <w:p w14:paraId="6F74F5B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研究选题、学术表达与论文投稿——期刊编辑的视角</w:t>
            </w:r>
          </w:p>
        </w:tc>
        <w:tc>
          <w:tcPr>
            <w:tcW w:w="2992" w:type="pct"/>
            <w:tcBorders>
              <w:top w:val="nil"/>
              <w:left w:val="nil"/>
              <w:bottom w:val="single" w:sz="4" w:space="0" w:color="000000"/>
              <w:right w:val="single" w:sz="4" w:space="0" w:color="000000"/>
            </w:tcBorders>
            <w:shd w:val="clear" w:color="auto" w:fill="auto"/>
            <w:vAlign w:val="center"/>
            <w:hideMark/>
          </w:tcPr>
          <w:p w14:paraId="750306A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本课程以《研究生教育研究》为例，介绍了期刊的选题方向、学术表达与价值评判及选刊投稿注意事项等常见问题。</w:t>
            </w:r>
          </w:p>
        </w:tc>
        <w:tc>
          <w:tcPr>
            <w:tcW w:w="260" w:type="pct"/>
            <w:tcBorders>
              <w:top w:val="nil"/>
              <w:left w:val="nil"/>
              <w:bottom w:val="single" w:sz="4" w:space="0" w:color="000000"/>
              <w:right w:val="single" w:sz="4" w:space="0" w:color="000000"/>
            </w:tcBorders>
            <w:shd w:val="clear" w:color="auto" w:fill="auto"/>
            <w:noWrap/>
            <w:vAlign w:val="center"/>
            <w:hideMark/>
          </w:tcPr>
          <w:p w14:paraId="10233613"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31DE1EB1" w14:textId="232A9465"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2.50</w:t>
            </w:r>
          </w:p>
        </w:tc>
      </w:tr>
      <w:tr w:rsidR="00A00E67" w:rsidRPr="00A00E67" w14:paraId="7C30366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303E917"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35</w:t>
            </w:r>
          </w:p>
        </w:tc>
        <w:tc>
          <w:tcPr>
            <w:tcW w:w="1061" w:type="pct"/>
            <w:tcBorders>
              <w:top w:val="nil"/>
              <w:left w:val="nil"/>
              <w:bottom w:val="single" w:sz="4" w:space="0" w:color="000000"/>
              <w:right w:val="single" w:sz="4" w:space="0" w:color="000000"/>
            </w:tcBorders>
            <w:shd w:val="clear" w:color="auto" w:fill="auto"/>
            <w:vAlign w:val="center"/>
            <w:hideMark/>
          </w:tcPr>
          <w:p w14:paraId="5811F7D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研究生教育改革举措的科学研究与成果表达</w:t>
            </w:r>
          </w:p>
        </w:tc>
        <w:tc>
          <w:tcPr>
            <w:tcW w:w="2992" w:type="pct"/>
            <w:tcBorders>
              <w:top w:val="nil"/>
              <w:left w:val="nil"/>
              <w:bottom w:val="single" w:sz="4" w:space="0" w:color="000000"/>
              <w:right w:val="single" w:sz="4" w:space="0" w:color="000000"/>
            </w:tcBorders>
            <w:shd w:val="clear" w:color="auto" w:fill="auto"/>
            <w:vAlign w:val="center"/>
            <w:hideMark/>
          </w:tcPr>
          <w:p w14:paraId="445EB15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本课程结合当前各院校在研究生教育发展中出现的改革成果，介绍了如何开展研究生教育研究，如何进行优秀成果表达。</w:t>
            </w:r>
          </w:p>
        </w:tc>
        <w:tc>
          <w:tcPr>
            <w:tcW w:w="260" w:type="pct"/>
            <w:tcBorders>
              <w:top w:val="nil"/>
              <w:left w:val="nil"/>
              <w:bottom w:val="single" w:sz="4" w:space="0" w:color="000000"/>
              <w:right w:val="single" w:sz="4" w:space="0" w:color="000000"/>
            </w:tcBorders>
            <w:shd w:val="clear" w:color="auto" w:fill="auto"/>
            <w:noWrap/>
            <w:vAlign w:val="center"/>
            <w:hideMark/>
          </w:tcPr>
          <w:p w14:paraId="7FC5A766"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CB3E39F" w14:textId="338BA51C"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2.30</w:t>
            </w:r>
          </w:p>
        </w:tc>
      </w:tr>
      <w:tr w:rsidR="00A00E67" w:rsidRPr="00A00E67" w14:paraId="1390600C"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60A51AD6"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36</w:t>
            </w:r>
          </w:p>
        </w:tc>
        <w:tc>
          <w:tcPr>
            <w:tcW w:w="1061" w:type="pct"/>
            <w:tcBorders>
              <w:top w:val="nil"/>
              <w:left w:val="nil"/>
              <w:bottom w:val="single" w:sz="4" w:space="0" w:color="000000"/>
              <w:right w:val="single" w:sz="4" w:space="0" w:color="000000"/>
            </w:tcBorders>
            <w:shd w:val="clear" w:color="auto" w:fill="auto"/>
            <w:vAlign w:val="center"/>
            <w:hideMark/>
          </w:tcPr>
          <w:p w14:paraId="39036DC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专业学位研究生教育项目制探索与案例分享</w:t>
            </w:r>
          </w:p>
        </w:tc>
        <w:tc>
          <w:tcPr>
            <w:tcW w:w="2992" w:type="pct"/>
            <w:tcBorders>
              <w:top w:val="nil"/>
              <w:left w:val="nil"/>
              <w:bottom w:val="single" w:sz="4" w:space="0" w:color="000000"/>
              <w:right w:val="single" w:sz="4" w:space="0" w:color="000000"/>
            </w:tcBorders>
            <w:shd w:val="clear" w:color="auto" w:fill="auto"/>
            <w:vAlign w:val="center"/>
            <w:hideMark/>
          </w:tcPr>
          <w:p w14:paraId="5396D2D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本课程通过具体案例，介绍了清华大学学位与研究生教育项目制的探索。</w:t>
            </w:r>
          </w:p>
        </w:tc>
        <w:tc>
          <w:tcPr>
            <w:tcW w:w="260" w:type="pct"/>
            <w:tcBorders>
              <w:top w:val="nil"/>
              <w:left w:val="nil"/>
              <w:bottom w:val="single" w:sz="4" w:space="0" w:color="000000"/>
              <w:right w:val="single" w:sz="4" w:space="0" w:color="000000"/>
            </w:tcBorders>
            <w:shd w:val="clear" w:color="auto" w:fill="auto"/>
            <w:noWrap/>
            <w:vAlign w:val="center"/>
            <w:hideMark/>
          </w:tcPr>
          <w:p w14:paraId="5C24603E"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A8D234E" w14:textId="0F49E26A"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2.20</w:t>
            </w:r>
          </w:p>
        </w:tc>
      </w:tr>
      <w:tr w:rsidR="00A00E67" w:rsidRPr="00A00E67" w14:paraId="600A782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4C177D0"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37</w:t>
            </w:r>
          </w:p>
        </w:tc>
        <w:tc>
          <w:tcPr>
            <w:tcW w:w="1061" w:type="pct"/>
            <w:tcBorders>
              <w:top w:val="nil"/>
              <w:left w:val="nil"/>
              <w:bottom w:val="single" w:sz="4" w:space="0" w:color="000000"/>
              <w:right w:val="single" w:sz="4" w:space="0" w:color="000000"/>
            </w:tcBorders>
            <w:shd w:val="clear" w:color="auto" w:fill="auto"/>
            <w:vAlign w:val="center"/>
            <w:hideMark/>
          </w:tcPr>
          <w:p w14:paraId="2D1E3D0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我国研究生招生制度变迁逻辑</w:t>
            </w:r>
          </w:p>
        </w:tc>
        <w:tc>
          <w:tcPr>
            <w:tcW w:w="2992" w:type="pct"/>
            <w:tcBorders>
              <w:top w:val="nil"/>
              <w:left w:val="nil"/>
              <w:bottom w:val="single" w:sz="4" w:space="0" w:color="000000"/>
              <w:right w:val="single" w:sz="4" w:space="0" w:color="000000"/>
            </w:tcBorders>
            <w:shd w:val="clear" w:color="auto" w:fill="auto"/>
            <w:vAlign w:val="center"/>
            <w:hideMark/>
          </w:tcPr>
          <w:p w14:paraId="7C1826E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本课程介绍了我国研究生招生制度变迁与制度设计逻辑。</w:t>
            </w:r>
          </w:p>
        </w:tc>
        <w:tc>
          <w:tcPr>
            <w:tcW w:w="260" w:type="pct"/>
            <w:tcBorders>
              <w:top w:val="nil"/>
              <w:left w:val="nil"/>
              <w:bottom w:val="single" w:sz="4" w:space="0" w:color="000000"/>
              <w:right w:val="single" w:sz="4" w:space="0" w:color="000000"/>
            </w:tcBorders>
            <w:shd w:val="clear" w:color="auto" w:fill="auto"/>
            <w:noWrap/>
            <w:vAlign w:val="center"/>
            <w:hideMark/>
          </w:tcPr>
          <w:p w14:paraId="45998BAA"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2E8FDC7D" w14:textId="207FBBA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2.27</w:t>
            </w:r>
          </w:p>
        </w:tc>
      </w:tr>
      <w:tr w:rsidR="00A00E67" w:rsidRPr="00A00E67" w14:paraId="0F4ED4CF"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CB17593"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38</w:t>
            </w:r>
          </w:p>
        </w:tc>
        <w:tc>
          <w:tcPr>
            <w:tcW w:w="1061" w:type="pct"/>
            <w:tcBorders>
              <w:top w:val="nil"/>
              <w:left w:val="nil"/>
              <w:bottom w:val="single" w:sz="4" w:space="0" w:color="000000"/>
              <w:right w:val="single" w:sz="4" w:space="0" w:color="000000"/>
            </w:tcBorders>
            <w:shd w:val="clear" w:color="auto" w:fill="auto"/>
            <w:vAlign w:val="center"/>
            <w:hideMark/>
          </w:tcPr>
          <w:p w14:paraId="0EF83B5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科研技能和学术规范课程建设</w:t>
            </w:r>
          </w:p>
        </w:tc>
        <w:tc>
          <w:tcPr>
            <w:tcW w:w="2992" w:type="pct"/>
            <w:tcBorders>
              <w:top w:val="nil"/>
              <w:left w:val="nil"/>
              <w:bottom w:val="single" w:sz="4" w:space="0" w:color="000000"/>
              <w:right w:val="single" w:sz="4" w:space="0" w:color="000000"/>
            </w:tcBorders>
            <w:shd w:val="clear" w:color="auto" w:fill="auto"/>
            <w:vAlign w:val="center"/>
            <w:hideMark/>
          </w:tcPr>
          <w:p w14:paraId="6409D95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本课程结合实际，分享了如何运用管理学、组织行为学的理论对研究生进行培养，从而形成课题组合力。</w:t>
            </w:r>
          </w:p>
        </w:tc>
        <w:tc>
          <w:tcPr>
            <w:tcW w:w="260" w:type="pct"/>
            <w:tcBorders>
              <w:top w:val="nil"/>
              <w:left w:val="nil"/>
              <w:bottom w:val="single" w:sz="4" w:space="0" w:color="000000"/>
              <w:right w:val="single" w:sz="4" w:space="0" w:color="000000"/>
            </w:tcBorders>
            <w:shd w:val="clear" w:color="auto" w:fill="auto"/>
            <w:noWrap/>
            <w:vAlign w:val="center"/>
            <w:hideMark/>
          </w:tcPr>
          <w:p w14:paraId="68E2C84C"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F2AFD93" w14:textId="5F4F940B"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1.78</w:t>
            </w:r>
          </w:p>
        </w:tc>
      </w:tr>
      <w:tr w:rsidR="00A00E67" w:rsidRPr="00A00E67" w14:paraId="737AFE1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E46CBF5"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39</w:t>
            </w:r>
          </w:p>
        </w:tc>
        <w:tc>
          <w:tcPr>
            <w:tcW w:w="1061" w:type="pct"/>
            <w:tcBorders>
              <w:top w:val="nil"/>
              <w:left w:val="nil"/>
              <w:bottom w:val="single" w:sz="4" w:space="0" w:color="000000"/>
              <w:right w:val="single" w:sz="4" w:space="0" w:color="000000"/>
            </w:tcBorders>
            <w:shd w:val="clear" w:color="auto" w:fill="auto"/>
            <w:vAlign w:val="center"/>
            <w:hideMark/>
          </w:tcPr>
          <w:p w14:paraId="5D0B702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工程类硕士专业学位培养模式探索与实践</w:t>
            </w:r>
          </w:p>
        </w:tc>
        <w:tc>
          <w:tcPr>
            <w:tcW w:w="2992" w:type="pct"/>
            <w:tcBorders>
              <w:top w:val="nil"/>
              <w:left w:val="nil"/>
              <w:bottom w:val="single" w:sz="4" w:space="0" w:color="000000"/>
              <w:right w:val="single" w:sz="4" w:space="0" w:color="000000"/>
            </w:tcBorders>
            <w:shd w:val="clear" w:color="auto" w:fill="auto"/>
            <w:vAlign w:val="center"/>
            <w:hideMark/>
          </w:tcPr>
          <w:p w14:paraId="1AD9CB6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本课程结合重庆大学工程类硕士专业学位研究生教育的发展现状，分析了工程类专业学位研究生培养问题，分享了若干培养模式创新的实践经验举措。</w:t>
            </w:r>
          </w:p>
        </w:tc>
        <w:tc>
          <w:tcPr>
            <w:tcW w:w="260" w:type="pct"/>
            <w:tcBorders>
              <w:top w:val="nil"/>
              <w:left w:val="nil"/>
              <w:bottom w:val="single" w:sz="4" w:space="0" w:color="000000"/>
              <w:right w:val="single" w:sz="4" w:space="0" w:color="000000"/>
            </w:tcBorders>
            <w:shd w:val="clear" w:color="auto" w:fill="auto"/>
            <w:noWrap/>
            <w:vAlign w:val="center"/>
            <w:hideMark/>
          </w:tcPr>
          <w:p w14:paraId="305CFC5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A499235" w14:textId="0AEF4CA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0.91</w:t>
            </w:r>
          </w:p>
        </w:tc>
      </w:tr>
      <w:tr w:rsidR="00A00E67" w:rsidRPr="00A00E67" w14:paraId="2A31494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07224CC"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40</w:t>
            </w:r>
          </w:p>
        </w:tc>
        <w:tc>
          <w:tcPr>
            <w:tcW w:w="1061" w:type="pct"/>
            <w:tcBorders>
              <w:top w:val="nil"/>
              <w:left w:val="nil"/>
              <w:bottom w:val="single" w:sz="4" w:space="0" w:color="000000"/>
              <w:right w:val="single" w:sz="4" w:space="0" w:color="000000"/>
            </w:tcBorders>
            <w:shd w:val="clear" w:color="auto" w:fill="auto"/>
            <w:vAlign w:val="center"/>
            <w:hideMark/>
          </w:tcPr>
          <w:p w14:paraId="45FA96B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强实践、融思政、筑体系——东南大学工程专业学位研究生课程教学改革探索与实践</w:t>
            </w:r>
          </w:p>
        </w:tc>
        <w:tc>
          <w:tcPr>
            <w:tcW w:w="2992" w:type="pct"/>
            <w:tcBorders>
              <w:top w:val="nil"/>
              <w:left w:val="nil"/>
              <w:bottom w:val="single" w:sz="4" w:space="0" w:color="000000"/>
              <w:right w:val="single" w:sz="4" w:space="0" w:color="000000"/>
            </w:tcBorders>
            <w:shd w:val="clear" w:color="auto" w:fill="auto"/>
            <w:vAlign w:val="center"/>
            <w:hideMark/>
          </w:tcPr>
          <w:p w14:paraId="397537A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本课程介绍了东南大学研究生培养总体情况，分享工程专业学位研究生培养的建设理念——课程体系建设融入思政元素、强化课程实践达到优化课程体系的目标。</w:t>
            </w:r>
          </w:p>
        </w:tc>
        <w:tc>
          <w:tcPr>
            <w:tcW w:w="260" w:type="pct"/>
            <w:tcBorders>
              <w:top w:val="nil"/>
              <w:left w:val="nil"/>
              <w:bottom w:val="single" w:sz="4" w:space="0" w:color="000000"/>
              <w:right w:val="single" w:sz="4" w:space="0" w:color="000000"/>
            </w:tcBorders>
            <w:shd w:val="clear" w:color="auto" w:fill="auto"/>
            <w:noWrap/>
            <w:vAlign w:val="center"/>
            <w:hideMark/>
          </w:tcPr>
          <w:p w14:paraId="60E4286D"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2BEFD0FD" w14:textId="195D6B28"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0.40</w:t>
            </w:r>
          </w:p>
        </w:tc>
      </w:tr>
      <w:tr w:rsidR="00A00E67" w:rsidRPr="00A00E67" w14:paraId="121A003F"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FD45087"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41</w:t>
            </w:r>
          </w:p>
        </w:tc>
        <w:tc>
          <w:tcPr>
            <w:tcW w:w="1061" w:type="pct"/>
            <w:tcBorders>
              <w:top w:val="nil"/>
              <w:left w:val="nil"/>
              <w:bottom w:val="single" w:sz="4" w:space="0" w:color="000000"/>
              <w:right w:val="single" w:sz="4" w:space="0" w:color="000000"/>
            </w:tcBorders>
            <w:shd w:val="clear" w:color="auto" w:fill="auto"/>
            <w:vAlign w:val="center"/>
            <w:hideMark/>
          </w:tcPr>
          <w:p w14:paraId="4F2225EE"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产教融合人才培养模式与课程体系建设——“百千万卓越工程人才培养”计划</w:t>
            </w:r>
          </w:p>
        </w:tc>
        <w:tc>
          <w:tcPr>
            <w:tcW w:w="2992" w:type="pct"/>
            <w:tcBorders>
              <w:top w:val="nil"/>
              <w:left w:val="nil"/>
              <w:bottom w:val="single" w:sz="4" w:space="0" w:color="000000"/>
              <w:right w:val="single" w:sz="4" w:space="0" w:color="000000"/>
            </w:tcBorders>
            <w:shd w:val="clear" w:color="auto" w:fill="auto"/>
            <w:vAlign w:val="center"/>
            <w:hideMark/>
          </w:tcPr>
          <w:p w14:paraId="6C1601F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本课程以西安交通大学“百千万卓越工程人才培养”计划为例，分享了该校在教、学、管三方面的改革创新举措。</w:t>
            </w:r>
          </w:p>
        </w:tc>
        <w:tc>
          <w:tcPr>
            <w:tcW w:w="260" w:type="pct"/>
            <w:tcBorders>
              <w:top w:val="nil"/>
              <w:left w:val="nil"/>
              <w:bottom w:val="single" w:sz="4" w:space="0" w:color="000000"/>
              <w:right w:val="single" w:sz="4" w:space="0" w:color="000000"/>
            </w:tcBorders>
            <w:shd w:val="clear" w:color="auto" w:fill="auto"/>
            <w:noWrap/>
            <w:vAlign w:val="center"/>
            <w:hideMark/>
          </w:tcPr>
          <w:p w14:paraId="235626CA"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3B1AE6EE" w14:textId="2FE49CFF"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0.50</w:t>
            </w:r>
          </w:p>
        </w:tc>
      </w:tr>
      <w:tr w:rsidR="00A00E67" w:rsidRPr="00A00E67" w14:paraId="1EB57C8B"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0A8824D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lastRenderedPageBreak/>
              <w:t>42</w:t>
            </w:r>
          </w:p>
        </w:tc>
        <w:tc>
          <w:tcPr>
            <w:tcW w:w="1061" w:type="pct"/>
            <w:tcBorders>
              <w:top w:val="nil"/>
              <w:left w:val="nil"/>
              <w:bottom w:val="single" w:sz="4" w:space="0" w:color="000000"/>
              <w:right w:val="single" w:sz="4" w:space="0" w:color="000000"/>
            </w:tcBorders>
            <w:shd w:val="clear" w:color="auto" w:fill="auto"/>
            <w:vAlign w:val="center"/>
            <w:hideMark/>
          </w:tcPr>
          <w:p w14:paraId="23F914A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产教融合，打造高质量专业学位研究生课程体系</w:t>
            </w:r>
          </w:p>
        </w:tc>
        <w:tc>
          <w:tcPr>
            <w:tcW w:w="2992" w:type="pct"/>
            <w:tcBorders>
              <w:top w:val="nil"/>
              <w:left w:val="nil"/>
              <w:bottom w:val="single" w:sz="4" w:space="0" w:color="000000"/>
              <w:right w:val="single" w:sz="4" w:space="0" w:color="000000"/>
            </w:tcBorders>
            <w:shd w:val="clear" w:color="auto" w:fill="auto"/>
            <w:vAlign w:val="center"/>
            <w:hideMark/>
          </w:tcPr>
          <w:p w14:paraId="259B3E3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本课程介绍了中国石油大学（北京）发展概况和该校课程体系建设及课程体系质量保障的经验。</w:t>
            </w:r>
          </w:p>
        </w:tc>
        <w:tc>
          <w:tcPr>
            <w:tcW w:w="260" w:type="pct"/>
            <w:tcBorders>
              <w:top w:val="nil"/>
              <w:left w:val="nil"/>
              <w:bottom w:val="single" w:sz="4" w:space="0" w:color="000000"/>
              <w:right w:val="single" w:sz="4" w:space="0" w:color="000000"/>
            </w:tcBorders>
            <w:shd w:val="clear" w:color="auto" w:fill="auto"/>
            <w:noWrap/>
            <w:vAlign w:val="center"/>
            <w:hideMark/>
          </w:tcPr>
          <w:p w14:paraId="4FAF7AA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1A0075D7" w14:textId="7067B6B4"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0.51</w:t>
            </w:r>
          </w:p>
        </w:tc>
      </w:tr>
      <w:tr w:rsidR="00A00E67" w:rsidRPr="00A00E67" w14:paraId="217093B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377A641"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43</w:t>
            </w:r>
          </w:p>
        </w:tc>
        <w:tc>
          <w:tcPr>
            <w:tcW w:w="1061" w:type="pct"/>
            <w:tcBorders>
              <w:top w:val="nil"/>
              <w:left w:val="nil"/>
              <w:bottom w:val="single" w:sz="4" w:space="0" w:color="000000"/>
              <w:right w:val="single" w:sz="4" w:space="0" w:color="000000"/>
            </w:tcBorders>
            <w:shd w:val="clear" w:color="auto" w:fill="auto"/>
            <w:vAlign w:val="center"/>
            <w:hideMark/>
          </w:tcPr>
          <w:p w14:paraId="1031E99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企业出题、高校解题、学生答题、政府助题，工程类硕士专业学位研究生培养“新昌模式”</w:t>
            </w:r>
          </w:p>
        </w:tc>
        <w:tc>
          <w:tcPr>
            <w:tcW w:w="2992" w:type="pct"/>
            <w:tcBorders>
              <w:top w:val="nil"/>
              <w:left w:val="nil"/>
              <w:bottom w:val="single" w:sz="4" w:space="0" w:color="000000"/>
              <w:right w:val="single" w:sz="4" w:space="0" w:color="000000"/>
            </w:tcBorders>
            <w:shd w:val="clear" w:color="auto" w:fill="auto"/>
            <w:vAlign w:val="center"/>
            <w:hideMark/>
          </w:tcPr>
          <w:p w14:paraId="65DA7DB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本课程以浙江理工大学“新昌模式”为例，分享了以解决工程实际问题能力为核心的政产学研深度融合的联培机制等内容。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0A1518F1"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666A9204" w14:textId="55D90FF3"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0.91</w:t>
            </w:r>
          </w:p>
        </w:tc>
      </w:tr>
      <w:tr w:rsidR="00A00E67" w:rsidRPr="00A00E67" w14:paraId="72CFB9C1"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6DEF13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44</w:t>
            </w:r>
          </w:p>
        </w:tc>
        <w:tc>
          <w:tcPr>
            <w:tcW w:w="1061" w:type="pct"/>
            <w:tcBorders>
              <w:top w:val="nil"/>
              <w:left w:val="nil"/>
              <w:bottom w:val="single" w:sz="4" w:space="0" w:color="000000"/>
              <w:right w:val="single" w:sz="4" w:space="0" w:color="000000"/>
            </w:tcBorders>
            <w:shd w:val="clear" w:color="auto" w:fill="auto"/>
            <w:vAlign w:val="center"/>
            <w:hideMark/>
          </w:tcPr>
          <w:p w14:paraId="61D9F911"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深度融合，构建高水平基地，打造多方共赢的育人共同体——河海大学研究生培养基地建设实践与探索</w:t>
            </w:r>
          </w:p>
        </w:tc>
        <w:tc>
          <w:tcPr>
            <w:tcW w:w="2992" w:type="pct"/>
            <w:tcBorders>
              <w:top w:val="nil"/>
              <w:left w:val="nil"/>
              <w:bottom w:val="single" w:sz="4" w:space="0" w:color="000000"/>
              <w:right w:val="single" w:sz="4" w:space="0" w:color="000000"/>
            </w:tcBorders>
            <w:shd w:val="clear" w:color="auto" w:fill="auto"/>
            <w:vAlign w:val="center"/>
            <w:hideMark/>
          </w:tcPr>
          <w:p w14:paraId="0234F2B2" w14:textId="70719E44"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本课程以河海大学为例，介绍了工程硕士培养、卓越工程人才培养等主要做法和经验。</w:t>
            </w:r>
          </w:p>
        </w:tc>
        <w:tc>
          <w:tcPr>
            <w:tcW w:w="260" w:type="pct"/>
            <w:tcBorders>
              <w:top w:val="nil"/>
              <w:left w:val="nil"/>
              <w:bottom w:val="single" w:sz="4" w:space="0" w:color="000000"/>
              <w:right w:val="single" w:sz="4" w:space="0" w:color="000000"/>
            </w:tcBorders>
            <w:shd w:val="clear" w:color="auto" w:fill="auto"/>
            <w:noWrap/>
            <w:vAlign w:val="center"/>
            <w:hideMark/>
          </w:tcPr>
          <w:p w14:paraId="444F514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31ED2C78" w14:textId="0345C129"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0.87</w:t>
            </w:r>
          </w:p>
        </w:tc>
      </w:tr>
      <w:tr w:rsidR="00A00E67" w:rsidRPr="00A00E67" w14:paraId="1E982A04"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61609D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45</w:t>
            </w:r>
          </w:p>
        </w:tc>
        <w:tc>
          <w:tcPr>
            <w:tcW w:w="1061" w:type="pct"/>
            <w:tcBorders>
              <w:top w:val="nil"/>
              <w:left w:val="nil"/>
              <w:bottom w:val="single" w:sz="4" w:space="0" w:color="000000"/>
              <w:right w:val="single" w:sz="4" w:space="0" w:color="000000"/>
            </w:tcBorders>
            <w:shd w:val="clear" w:color="auto" w:fill="auto"/>
            <w:vAlign w:val="center"/>
            <w:hideMark/>
          </w:tcPr>
          <w:p w14:paraId="36853ABA"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打造翱翔一线协同育人平台——培养德才兼备高层次专业人才</w:t>
            </w:r>
          </w:p>
        </w:tc>
        <w:tc>
          <w:tcPr>
            <w:tcW w:w="2992" w:type="pct"/>
            <w:tcBorders>
              <w:top w:val="nil"/>
              <w:left w:val="nil"/>
              <w:bottom w:val="single" w:sz="4" w:space="0" w:color="000000"/>
              <w:right w:val="single" w:sz="4" w:space="0" w:color="000000"/>
            </w:tcBorders>
            <w:shd w:val="clear" w:color="auto" w:fill="auto"/>
            <w:vAlign w:val="center"/>
            <w:hideMark/>
          </w:tcPr>
          <w:p w14:paraId="302ACA7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本课程针对校企协同育人平台建设存在的突出问题，介绍了西北工业大学统筹校内外资源，构建翱翔一线协同育人平台的经验做法。</w:t>
            </w:r>
          </w:p>
        </w:tc>
        <w:tc>
          <w:tcPr>
            <w:tcW w:w="260" w:type="pct"/>
            <w:tcBorders>
              <w:top w:val="nil"/>
              <w:left w:val="nil"/>
              <w:bottom w:val="single" w:sz="4" w:space="0" w:color="000000"/>
              <w:right w:val="single" w:sz="4" w:space="0" w:color="000000"/>
            </w:tcBorders>
            <w:shd w:val="clear" w:color="auto" w:fill="auto"/>
            <w:noWrap/>
            <w:vAlign w:val="center"/>
            <w:hideMark/>
          </w:tcPr>
          <w:p w14:paraId="74A4EE7F"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65E66BC" w14:textId="260FFA3E"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0.76</w:t>
            </w:r>
          </w:p>
        </w:tc>
      </w:tr>
      <w:tr w:rsidR="00A00E67" w:rsidRPr="00A00E67" w14:paraId="3F49DFAC"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E90AEB3"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46</w:t>
            </w:r>
          </w:p>
        </w:tc>
        <w:tc>
          <w:tcPr>
            <w:tcW w:w="1061" w:type="pct"/>
            <w:tcBorders>
              <w:top w:val="nil"/>
              <w:left w:val="nil"/>
              <w:bottom w:val="single" w:sz="4" w:space="0" w:color="000000"/>
              <w:right w:val="single" w:sz="4" w:space="0" w:color="000000"/>
            </w:tcBorders>
            <w:shd w:val="clear" w:color="auto" w:fill="auto"/>
            <w:vAlign w:val="center"/>
            <w:hideMark/>
          </w:tcPr>
          <w:p w14:paraId="1F8ADB4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校企协同组织复试，面向需求选拔人才</w:t>
            </w:r>
          </w:p>
        </w:tc>
        <w:tc>
          <w:tcPr>
            <w:tcW w:w="2992" w:type="pct"/>
            <w:tcBorders>
              <w:top w:val="nil"/>
              <w:left w:val="nil"/>
              <w:bottom w:val="single" w:sz="4" w:space="0" w:color="000000"/>
              <w:right w:val="single" w:sz="4" w:space="0" w:color="000000"/>
            </w:tcBorders>
            <w:shd w:val="clear" w:color="auto" w:fill="auto"/>
            <w:vAlign w:val="center"/>
            <w:hideMark/>
          </w:tcPr>
          <w:p w14:paraId="2D0BDD62"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本课程介绍了校企协同组织复试，面向需求选拔人才的经验与做法。</w:t>
            </w:r>
          </w:p>
        </w:tc>
        <w:tc>
          <w:tcPr>
            <w:tcW w:w="260" w:type="pct"/>
            <w:tcBorders>
              <w:top w:val="nil"/>
              <w:left w:val="nil"/>
              <w:bottom w:val="single" w:sz="4" w:space="0" w:color="000000"/>
              <w:right w:val="single" w:sz="4" w:space="0" w:color="000000"/>
            </w:tcBorders>
            <w:shd w:val="clear" w:color="auto" w:fill="auto"/>
            <w:noWrap/>
            <w:vAlign w:val="center"/>
            <w:hideMark/>
          </w:tcPr>
          <w:p w14:paraId="3B38CC39"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0CFF7576" w14:textId="4DFFE6C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0.62</w:t>
            </w:r>
          </w:p>
        </w:tc>
      </w:tr>
      <w:tr w:rsidR="00A00E67" w:rsidRPr="00A00E67" w14:paraId="1080F446"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0169EFB"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47</w:t>
            </w:r>
          </w:p>
        </w:tc>
        <w:tc>
          <w:tcPr>
            <w:tcW w:w="1061" w:type="pct"/>
            <w:tcBorders>
              <w:top w:val="nil"/>
              <w:left w:val="nil"/>
              <w:bottom w:val="single" w:sz="4" w:space="0" w:color="000000"/>
              <w:right w:val="single" w:sz="4" w:space="0" w:color="000000"/>
            </w:tcBorders>
            <w:shd w:val="clear" w:color="auto" w:fill="auto"/>
            <w:vAlign w:val="center"/>
            <w:hideMark/>
          </w:tcPr>
          <w:p w14:paraId="4EDDC05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精准化、差异化、项目制-电子科技大学电子科学与工程学院（示范性微电子学院）专业学位招生与培养思考</w:t>
            </w:r>
          </w:p>
        </w:tc>
        <w:tc>
          <w:tcPr>
            <w:tcW w:w="2992" w:type="pct"/>
            <w:tcBorders>
              <w:top w:val="nil"/>
              <w:left w:val="nil"/>
              <w:bottom w:val="single" w:sz="4" w:space="0" w:color="000000"/>
              <w:right w:val="single" w:sz="4" w:space="0" w:color="000000"/>
            </w:tcBorders>
            <w:shd w:val="clear" w:color="auto" w:fill="auto"/>
            <w:vAlign w:val="center"/>
            <w:hideMark/>
          </w:tcPr>
          <w:p w14:paraId="2C28126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本课程介绍了电子科技大学电子科学与工程学院专业学位的培养举措，及其若干成效。</w:t>
            </w:r>
          </w:p>
        </w:tc>
        <w:tc>
          <w:tcPr>
            <w:tcW w:w="260" w:type="pct"/>
            <w:tcBorders>
              <w:top w:val="nil"/>
              <w:left w:val="nil"/>
              <w:bottom w:val="single" w:sz="4" w:space="0" w:color="000000"/>
              <w:right w:val="single" w:sz="4" w:space="0" w:color="000000"/>
            </w:tcBorders>
            <w:shd w:val="clear" w:color="auto" w:fill="auto"/>
            <w:noWrap/>
            <w:vAlign w:val="center"/>
            <w:hideMark/>
          </w:tcPr>
          <w:p w14:paraId="18561877"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39F53F0F" w14:textId="6D45515B"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0.80</w:t>
            </w:r>
          </w:p>
        </w:tc>
      </w:tr>
      <w:tr w:rsidR="00A00E67" w:rsidRPr="00A00E67" w14:paraId="2E2D7AF2"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3E27E265"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48</w:t>
            </w:r>
          </w:p>
        </w:tc>
        <w:tc>
          <w:tcPr>
            <w:tcW w:w="1061" w:type="pct"/>
            <w:tcBorders>
              <w:top w:val="nil"/>
              <w:left w:val="nil"/>
              <w:bottom w:val="single" w:sz="4" w:space="0" w:color="000000"/>
              <w:right w:val="single" w:sz="4" w:space="0" w:color="000000"/>
            </w:tcBorders>
            <w:shd w:val="clear" w:color="auto" w:fill="auto"/>
            <w:vAlign w:val="center"/>
            <w:hideMark/>
          </w:tcPr>
          <w:p w14:paraId="1B2502A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案例、案例教学、教学案例、相关规范与要求</w:t>
            </w:r>
          </w:p>
        </w:tc>
        <w:tc>
          <w:tcPr>
            <w:tcW w:w="2992" w:type="pct"/>
            <w:tcBorders>
              <w:top w:val="nil"/>
              <w:left w:val="nil"/>
              <w:bottom w:val="single" w:sz="4" w:space="0" w:color="000000"/>
              <w:right w:val="single" w:sz="4" w:space="0" w:color="000000"/>
            </w:tcBorders>
            <w:shd w:val="clear" w:color="auto" w:fill="auto"/>
            <w:vAlign w:val="center"/>
            <w:hideMark/>
          </w:tcPr>
          <w:p w14:paraId="75E4735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本课程聚焦工程伦理案例教学，介绍了案例教学中的重点和难点，以及如何帮助学生厘清思路，引导学生分析和讨论等教学方法。</w:t>
            </w:r>
          </w:p>
        </w:tc>
        <w:tc>
          <w:tcPr>
            <w:tcW w:w="260" w:type="pct"/>
            <w:tcBorders>
              <w:top w:val="nil"/>
              <w:left w:val="nil"/>
              <w:bottom w:val="single" w:sz="4" w:space="0" w:color="000000"/>
              <w:right w:val="single" w:sz="4" w:space="0" w:color="000000"/>
            </w:tcBorders>
            <w:shd w:val="clear" w:color="auto" w:fill="auto"/>
            <w:noWrap/>
            <w:vAlign w:val="center"/>
            <w:hideMark/>
          </w:tcPr>
          <w:p w14:paraId="582A08A1"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F99E686" w14:textId="174F13EF"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1.02</w:t>
            </w:r>
          </w:p>
        </w:tc>
      </w:tr>
      <w:tr w:rsidR="00A00E67" w:rsidRPr="00A00E67" w14:paraId="37D57DFE"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1D26EB5"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49</w:t>
            </w:r>
          </w:p>
        </w:tc>
        <w:tc>
          <w:tcPr>
            <w:tcW w:w="1061" w:type="pct"/>
            <w:tcBorders>
              <w:top w:val="nil"/>
              <w:left w:val="nil"/>
              <w:bottom w:val="single" w:sz="4" w:space="0" w:color="000000"/>
              <w:right w:val="single" w:sz="4" w:space="0" w:color="000000"/>
            </w:tcBorders>
            <w:shd w:val="clear" w:color="auto" w:fill="auto"/>
            <w:vAlign w:val="center"/>
            <w:hideMark/>
          </w:tcPr>
          <w:p w14:paraId="20EDD29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《工程伦理》课程案例的选择、开发与应用</w:t>
            </w:r>
          </w:p>
        </w:tc>
        <w:tc>
          <w:tcPr>
            <w:tcW w:w="2992" w:type="pct"/>
            <w:tcBorders>
              <w:top w:val="nil"/>
              <w:left w:val="nil"/>
              <w:bottom w:val="single" w:sz="4" w:space="0" w:color="000000"/>
              <w:right w:val="single" w:sz="4" w:space="0" w:color="000000"/>
            </w:tcBorders>
            <w:shd w:val="clear" w:color="auto" w:fill="auto"/>
            <w:vAlign w:val="center"/>
            <w:hideMark/>
          </w:tcPr>
          <w:p w14:paraId="5EB4FDF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本课程介绍了《工程伦理》课程案例的选择、开发与应用。</w:t>
            </w:r>
          </w:p>
        </w:tc>
        <w:tc>
          <w:tcPr>
            <w:tcW w:w="260" w:type="pct"/>
            <w:tcBorders>
              <w:top w:val="nil"/>
              <w:left w:val="nil"/>
              <w:bottom w:val="single" w:sz="4" w:space="0" w:color="000000"/>
              <w:right w:val="single" w:sz="4" w:space="0" w:color="000000"/>
            </w:tcBorders>
            <w:shd w:val="clear" w:color="auto" w:fill="auto"/>
            <w:noWrap/>
            <w:vAlign w:val="center"/>
            <w:hideMark/>
          </w:tcPr>
          <w:p w14:paraId="607ECF87"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BEC6B18" w14:textId="4FBC85AD"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1.11</w:t>
            </w:r>
          </w:p>
        </w:tc>
      </w:tr>
      <w:tr w:rsidR="00A00E67" w:rsidRPr="00A00E67" w14:paraId="60484AC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44F3FEF"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50</w:t>
            </w:r>
          </w:p>
        </w:tc>
        <w:tc>
          <w:tcPr>
            <w:tcW w:w="1061" w:type="pct"/>
            <w:tcBorders>
              <w:top w:val="nil"/>
              <w:left w:val="nil"/>
              <w:bottom w:val="single" w:sz="4" w:space="0" w:color="000000"/>
              <w:right w:val="single" w:sz="4" w:space="0" w:color="000000"/>
            </w:tcBorders>
            <w:shd w:val="clear" w:color="auto" w:fill="auto"/>
            <w:vAlign w:val="center"/>
            <w:hideMark/>
          </w:tcPr>
          <w:p w14:paraId="3F547251"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课程思政指导下的工程伦理案例教学</w:t>
            </w:r>
          </w:p>
        </w:tc>
        <w:tc>
          <w:tcPr>
            <w:tcW w:w="2992" w:type="pct"/>
            <w:tcBorders>
              <w:top w:val="nil"/>
              <w:left w:val="nil"/>
              <w:bottom w:val="single" w:sz="4" w:space="0" w:color="000000"/>
              <w:right w:val="single" w:sz="4" w:space="0" w:color="000000"/>
            </w:tcBorders>
            <w:shd w:val="clear" w:color="auto" w:fill="auto"/>
            <w:vAlign w:val="center"/>
            <w:hideMark/>
          </w:tcPr>
          <w:p w14:paraId="25B253A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本课程结合中国重大工程中的伦理问题解决方案，分享了如何运用复式记录法进行案例分析、小组合作学习等教学案例及其成效。</w:t>
            </w:r>
          </w:p>
        </w:tc>
        <w:tc>
          <w:tcPr>
            <w:tcW w:w="260" w:type="pct"/>
            <w:tcBorders>
              <w:top w:val="nil"/>
              <w:left w:val="nil"/>
              <w:bottom w:val="single" w:sz="4" w:space="0" w:color="000000"/>
              <w:right w:val="single" w:sz="4" w:space="0" w:color="000000"/>
            </w:tcBorders>
            <w:shd w:val="clear" w:color="auto" w:fill="auto"/>
            <w:noWrap/>
            <w:vAlign w:val="center"/>
            <w:hideMark/>
          </w:tcPr>
          <w:p w14:paraId="453F4F4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28D075EA" w14:textId="0E610D20"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0.82</w:t>
            </w:r>
          </w:p>
        </w:tc>
      </w:tr>
      <w:tr w:rsidR="00A00E67" w:rsidRPr="00A00E67" w14:paraId="5783DC52"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06A8E89"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51</w:t>
            </w:r>
          </w:p>
        </w:tc>
        <w:tc>
          <w:tcPr>
            <w:tcW w:w="1061" w:type="pct"/>
            <w:tcBorders>
              <w:top w:val="nil"/>
              <w:left w:val="nil"/>
              <w:bottom w:val="single" w:sz="4" w:space="0" w:color="000000"/>
              <w:right w:val="single" w:sz="4" w:space="0" w:color="000000"/>
            </w:tcBorders>
            <w:shd w:val="clear" w:color="auto" w:fill="auto"/>
            <w:vAlign w:val="center"/>
            <w:hideMark/>
          </w:tcPr>
          <w:p w14:paraId="22EB057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信息伦理案例教学——基于移动互联的共享经济伦理建设</w:t>
            </w:r>
          </w:p>
        </w:tc>
        <w:tc>
          <w:tcPr>
            <w:tcW w:w="2992" w:type="pct"/>
            <w:tcBorders>
              <w:top w:val="nil"/>
              <w:left w:val="nil"/>
              <w:bottom w:val="single" w:sz="4" w:space="0" w:color="000000"/>
              <w:right w:val="single" w:sz="4" w:space="0" w:color="000000"/>
            </w:tcBorders>
            <w:shd w:val="clear" w:color="auto" w:fill="auto"/>
            <w:vAlign w:val="center"/>
            <w:hideMark/>
          </w:tcPr>
          <w:p w14:paraId="2D3DB56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本课程分享了信息伦理的主要关切和教学目标，网约车教学案例设计，教学实践及学生学习成果。</w:t>
            </w:r>
          </w:p>
        </w:tc>
        <w:tc>
          <w:tcPr>
            <w:tcW w:w="260" w:type="pct"/>
            <w:tcBorders>
              <w:top w:val="nil"/>
              <w:left w:val="nil"/>
              <w:bottom w:val="single" w:sz="4" w:space="0" w:color="000000"/>
              <w:right w:val="single" w:sz="4" w:space="0" w:color="000000"/>
            </w:tcBorders>
            <w:shd w:val="clear" w:color="auto" w:fill="auto"/>
            <w:noWrap/>
            <w:vAlign w:val="center"/>
            <w:hideMark/>
          </w:tcPr>
          <w:p w14:paraId="3365A82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DEFE728" w14:textId="3C413ED8"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0.91</w:t>
            </w:r>
          </w:p>
        </w:tc>
      </w:tr>
      <w:tr w:rsidR="00A00E67" w:rsidRPr="00A00E67" w14:paraId="1B5FE05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8A81A1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lastRenderedPageBreak/>
              <w:t>52</w:t>
            </w:r>
          </w:p>
        </w:tc>
        <w:tc>
          <w:tcPr>
            <w:tcW w:w="1061" w:type="pct"/>
            <w:tcBorders>
              <w:top w:val="nil"/>
              <w:left w:val="nil"/>
              <w:bottom w:val="single" w:sz="4" w:space="0" w:color="000000"/>
              <w:right w:val="single" w:sz="4" w:space="0" w:color="000000"/>
            </w:tcBorders>
            <w:shd w:val="clear" w:color="auto" w:fill="auto"/>
            <w:vAlign w:val="center"/>
            <w:hideMark/>
          </w:tcPr>
          <w:p w14:paraId="63FED30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以工程人才培养质量为导向，促进学位论文评价体系改革</w:t>
            </w:r>
          </w:p>
        </w:tc>
        <w:tc>
          <w:tcPr>
            <w:tcW w:w="2992" w:type="pct"/>
            <w:tcBorders>
              <w:top w:val="nil"/>
              <w:left w:val="nil"/>
              <w:bottom w:val="single" w:sz="4" w:space="0" w:color="000000"/>
              <w:right w:val="single" w:sz="4" w:space="0" w:color="000000"/>
            </w:tcBorders>
            <w:shd w:val="clear" w:color="auto" w:fill="auto"/>
            <w:vAlign w:val="center"/>
            <w:hideMark/>
          </w:tcPr>
          <w:p w14:paraId="41F39820"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本课程介绍了天津大学工程类硕士专业学位基本情况、新时代人才培养及评价要求、工程类硕士培养与评价改革等内容。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391FEDE0"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18F57395" w14:textId="2E14C37B"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0.87</w:t>
            </w:r>
          </w:p>
        </w:tc>
      </w:tr>
      <w:tr w:rsidR="00A00E67" w:rsidRPr="00A00E67" w14:paraId="7CC909FC"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82F2354"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53</w:t>
            </w:r>
          </w:p>
        </w:tc>
        <w:tc>
          <w:tcPr>
            <w:tcW w:w="1061" w:type="pct"/>
            <w:tcBorders>
              <w:top w:val="nil"/>
              <w:left w:val="nil"/>
              <w:bottom w:val="single" w:sz="4" w:space="0" w:color="000000"/>
              <w:right w:val="single" w:sz="4" w:space="0" w:color="000000"/>
            </w:tcBorders>
            <w:shd w:val="clear" w:color="auto" w:fill="auto"/>
            <w:vAlign w:val="center"/>
            <w:hideMark/>
          </w:tcPr>
          <w:p w14:paraId="536B3BA9"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强应用导向，促分类评价，服务国家发展需求-上海交通大学工程类学位论文工作与成果评价</w:t>
            </w:r>
          </w:p>
        </w:tc>
        <w:tc>
          <w:tcPr>
            <w:tcW w:w="2992" w:type="pct"/>
            <w:tcBorders>
              <w:top w:val="nil"/>
              <w:left w:val="nil"/>
              <w:bottom w:val="single" w:sz="4" w:space="0" w:color="000000"/>
              <w:right w:val="single" w:sz="4" w:space="0" w:color="000000"/>
            </w:tcBorders>
            <w:shd w:val="clear" w:color="auto" w:fill="auto"/>
            <w:vAlign w:val="center"/>
            <w:hideMark/>
          </w:tcPr>
          <w:p w14:paraId="53DC9CAF"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本课程以上海交通大学为例，介绍了该校工程类博士培养目标及论文要求，探索工程类博士专业学位论文质量保障工作思路。</w:t>
            </w:r>
          </w:p>
        </w:tc>
        <w:tc>
          <w:tcPr>
            <w:tcW w:w="260" w:type="pct"/>
            <w:tcBorders>
              <w:top w:val="nil"/>
              <w:left w:val="nil"/>
              <w:bottom w:val="single" w:sz="4" w:space="0" w:color="000000"/>
              <w:right w:val="single" w:sz="4" w:space="0" w:color="000000"/>
            </w:tcBorders>
            <w:shd w:val="clear" w:color="auto" w:fill="auto"/>
            <w:noWrap/>
            <w:vAlign w:val="center"/>
            <w:hideMark/>
          </w:tcPr>
          <w:p w14:paraId="5173BAB1"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FCDFF53" w14:textId="6D9C0572"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0.87</w:t>
            </w:r>
          </w:p>
        </w:tc>
      </w:tr>
      <w:tr w:rsidR="00A00E67" w:rsidRPr="00A00E67" w14:paraId="3AF8C011"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7910BE5"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54</w:t>
            </w:r>
          </w:p>
        </w:tc>
        <w:tc>
          <w:tcPr>
            <w:tcW w:w="1061" w:type="pct"/>
            <w:tcBorders>
              <w:top w:val="nil"/>
              <w:left w:val="nil"/>
              <w:bottom w:val="single" w:sz="4" w:space="0" w:color="000000"/>
              <w:right w:val="single" w:sz="4" w:space="0" w:color="000000"/>
            </w:tcBorders>
            <w:shd w:val="clear" w:color="auto" w:fill="auto"/>
            <w:vAlign w:val="center"/>
            <w:hideMark/>
          </w:tcPr>
          <w:p w14:paraId="22823A11"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强应用，促分类-论文工作与成果评价</w:t>
            </w:r>
          </w:p>
        </w:tc>
        <w:tc>
          <w:tcPr>
            <w:tcW w:w="2992" w:type="pct"/>
            <w:tcBorders>
              <w:top w:val="nil"/>
              <w:left w:val="nil"/>
              <w:bottom w:val="single" w:sz="4" w:space="0" w:color="000000"/>
              <w:right w:val="single" w:sz="4" w:space="0" w:color="000000"/>
            </w:tcBorders>
            <w:shd w:val="clear" w:color="auto" w:fill="auto"/>
            <w:vAlign w:val="center"/>
            <w:hideMark/>
          </w:tcPr>
          <w:p w14:paraId="78FA6AE6" w14:textId="51D192B5"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本课程以哈尔滨工程大学为例，介绍了该校开展科研先行、校企定制化培养、加强论文选题与工程实践的联动、规范论文写作等方面的举措。</w:t>
            </w:r>
          </w:p>
        </w:tc>
        <w:tc>
          <w:tcPr>
            <w:tcW w:w="260" w:type="pct"/>
            <w:tcBorders>
              <w:top w:val="nil"/>
              <w:left w:val="nil"/>
              <w:bottom w:val="single" w:sz="4" w:space="0" w:color="000000"/>
              <w:right w:val="single" w:sz="4" w:space="0" w:color="000000"/>
            </w:tcBorders>
            <w:shd w:val="clear" w:color="auto" w:fill="auto"/>
            <w:noWrap/>
            <w:vAlign w:val="center"/>
            <w:hideMark/>
          </w:tcPr>
          <w:p w14:paraId="39E3F9C2"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79F15938" w14:textId="1589D65C"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0.90</w:t>
            </w:r>
          </w:p>
        </w:tc>
      </w:tr>
      <w:tr w:rsidR="00A00E67" w:rsidRPr="00A00E67" w14:paraId="660D5A92"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3ED166D"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55</w:t>
            </w:r>
          </w:p>
        </w:tc>
        <w:tc>
          <w:tcPr>
            <w:tcW w:w="1061" w:type="pct"/>
            <w:tcBorders>
              <w:top w:val="nil"/>
              <w:left w:val="nil"/>
              <w:bottom w:val="single" w:sz="4" w:space="0" w:color="000000"/>
              <w:right w:val="single" w:sz="4" w:space="0" w:color="000000"/>
            </w:tcBorders>
            <w:shd w:val="clear" w:color="auto" w:fill="auto"/>
            <w:vAlign w:val="center"/>
            <w:hideMark/>
          </w:tcPr>
          <w:p w14:paraId="6982540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研究生学习的典型问题及教育干预</w:t>
            </w:r>
          </w:p>
        </w:tc>
        <w:tc>
          <w:tcPr>
            <w:tcW w:w="2992" w:type="pct"/>
            <w:tcBorders>
              <w:top w:val="nil"/>
              <w:left w:val="nil"/>
              <w:bottom w:val="single" w:sz="4" w:space="0" w:color="000000"/>
              <w:right w:val="single" w:sz="4" w:space="0" w:color="000000"/>
            </w:tcBorders>
            <w:shd w:val="clear" w:color="auto" w:fill="auto"/>
            <w:vAlign w:val="center"/>
            <w:hideMark/>
          </w:tcPr>
          <w:p w14:paraId="47DE50E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本课程分享了研究生学习的典型问题及其教育干预，研究生的学习心理及其调适等内容。</w:t>
            </w:r>
          </w:p>
        </w:tc>
        <w:tc>
          <w:tcPr>
            <w:tcW w:w="260" w:type="pct"/>
            <w:tcBorders>
              <w:top w:val="nil"/>
              <w:left w:val="nil"/>
              <w:bottom w:val="single" w:sz="4" w:space="0" w:color="000000"/>
              <w:right w:val="single" w:sz="4" w:space="0" w:color="000000"/>
            </w:tcBorders>
            <w:shd w:val="clear" w:color="auto" w:fill="auto"/>
            <w:noWrap/>
            <w:vAlign w:val="center"/>
            <w:hideMark/>
          </w:tcPr>
          <w:p w14:paraId="36D2AF3F"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4B99CAFE" w14:textId="63F14948"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1.22</w:t>
            </w:r>
          </w:p>
        </w:tc>
      </w:tr>
      <w:tr w:rsidR="00A00E67" w:rsidRPr="00A00E67" w14:paraId="62ACE4E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29588D40"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56</w:t>
            </w:r>
          </w:p>
        </w:tc>
        <w:tc>
          <w:tcPr>
            <w:tcW w:w="1061" w:type="pct"/>
            <w:tcBorders>
              <w:top w:val="nil"/>
              <w:left w:val="nil"/>
              <w:bottom w:val="single" w:sz="4" w:space="0" w:color="000000"/>
              <w:right w:val="single" w:sz="4" w:space="0" w:color="000000"/>
            </w:tcBorders>
            <w:shd w:val="clear" w:color="auto" w:fill="auto"/>
            <w:vAlign w:val="center"/>
            <w:hideMark/>
          </w:tcPr>
          <w:p w14:paraId="452F8D8B"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智能化时代如何更有效地实现跨学科人才培养</w:t>
            </w:r>
          </w:p>
        </w:tc>
        <w:tc>
          <w:tcPr>
            <w:tcW w:w="2992" w:type="pct"/>
            <w:tcBorders>
              <w:top w:val="nil"/>
              <w:left w:val="nil"/>
              <w:bottom w:val="single" w:sz="4" w:space="0" w:color="000000"/>
              <w:right w:val="single" w:sz="4" w:space="0" w:color="000000"/>
            </w:tcBorders>
            <w:shd w:val="clear" w:color="auto" w:fill="auto"/>
            <w:vAlign w:val="center"/>
            <w:hideMark/>
          </w:tcPr>
          <w:p w14:paraId="4C55D74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本课程分享了金融学研究生跨学科培养模式的探索与思考，世界一流大学的建设定位与特征。</w:t>
            </w:r>
          </w:p>
        </w:tc>
        <w:tc>
          <w:tcPr>
            <w:tcW w:w="260" w:type="pct"/>
            <w:tcBorders>
              <w:top w:val="nil"/>
              <w:left w:val="nil"/>
              <w:bottom w:val="single" w:sz="4" w:space="0" w:color="000000"/>
              <w:right w:val="single" w:sz="4" w:space="0" w:color="000000"/>
            </w:tcBorders>
            <w:shd w:val="clear" w:color="auto" w:fill="auto"/>
            <w:noWrap/>
            <w:vAlign w:val="center"/>
            <w:hideMark/>
          </w:tcPr>
          <w:p w14:paraId="14317B98"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495F28CC" w14:textId="3A954266"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0.93</w:t>
            </w:r>
          </w:p>
        </w:tc>
      </w:tr>
      <w:tr w:rsidR="00A00E67" w:rsidRPr="00A00E67" w14:paraId="12E06BEF"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1DD5BCF2"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57</w:t>
            </w:r>
          </w:p>
        </w:tc>
        <w:tc>
          <w:tcPr>
            <w:tcW w:w="1061" w:type="pct"/>
            <w:tcBorders>
              <w:top w:val="nil"/>
              <w:left w:val="nil"/>
              <w:bottom w:val="single" w:sz="4" w:space="0" w:color="000000"/>
              <w:right w:val="single" w:sz="4" w:space="0" w:color="000000"/>
            </w:tcBorders>
            <w:shd w:val="clear" w:color="auto" w:fill="auto"/>
            <w:vAlign w:val="center"/>
            <w:hideMark/>
          </w:tcPr>
          <w:p w14:paraId="2BBE59A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面向国家急需，优化学科布局，服务高水平科技自立自强</w:t>
            </w:r>
          </w:p>
        </w:tc>
        <w:tc>
          <w:tcPr>
            <w:tcW w:w="2992" w:type="pct"/>
            <w:tcBorders>
              <w:top w:val="nil"/>
              <w:left w:val="nil"/>
              <w:bottom w:val="single" w:sz="4" w:space="0" w:color="000000"/>
              <w:right w:val="single" w:sz="4" w:space="0" w:color="000000"/>
            </w:tcBorders>
            <w:shd w:val="clear" w:color="auto" w:fill="auto"/>
            <w:vAlign w:val="center"/>
            <w:hideMark/>
          </w:tcPr>
          <w:p w14:paraId="4081DE97"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本课程以西安交通大学为例，介绍了该校面向国家急需领域，优化学科布局的实践举措。</w:t>
            </w:r>
          </w:p>
        </w:tc>
        <w:tc>
          <w:tcPr>
            <w:tcW w:w="260" w:type="pct"/>
            <w:tcBorders>
              <w:top w:val="nil"/>
              <w:left w:val="nil"/>
              <w:bottom w:val="single" w:sz="4" w:space="0" w:color="000000"/>
              <w:right w:val="single" w:sz="4" w:space="0" w:color="000000"/>
            </w:tcBorders>
            <w:shd w:val="clear" w:color="auto" w:fill="auto"/>
            <w:noWrap/>
            <w:vAlign w:val="center"/>
            <w:hideMark/>
          </w:tcPr>
          <w:p w14:paraId="514523EA"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647FB8C6" w14:textId="0B210478"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0.98</w:t>
            </w:r>
          </w:p>
        </w:tc>
      </w:tr>
      <w:tr w:rsidR="00A00E67" w:rsidRPr="00A00E67" w14:paraId="61971DAD"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469967CC"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58</w:t>
            </w:r>
          </w:p>
        </w:tc>
        <w:tc>
          <w:tcPr>
            <w:tcW w:w="1061" w:type="pct"/>
            <w:tcBorders>
              <w:top w:val="nil"/>
              <w:left w:val="nil"/>
              <w:bottom w:val="single" w:sz="4" w:space="0" w:color="000000"/>
              <w:right w:val="single" w:sz="4" w:space="0" w:color="000000"/>
            </w:tcBorders>
            <w:shd w:val="clear" w:color="auto" w:fill="auto"/>
            <w:vAlign w:val="center"/>
            <w:hideMark/>
          </w:tcPr>
          <w:p w14:paraId="062FCAE4"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服务需求明确目标提升质量——清华大学工程硕士“项目制”培养模式改革</w:t>
            </w:r>
          </w:p>
        </w:tc>
        <w:tc>
          <w:tcPr>
            <w:tcW w:w="2992" w:type="pct"/>
            <w:tcBorders>
              <w:top w:val="nil"/>
              <w:left w:val="nil"/>
              <w:bottom w:val="single" w:sz="4" w:space="0" w:color="000000"/>
              <w:right w:val="single" w:sz="4" w:space="0" w:color="000000"/>
            </w:tcBorders>
            <w:shd w:val="clear" w:color="auto" w:fill="auto"/>
            <w:vAlign w:val="center"/>
            <w:hideMark/>
          </w:tcPr>
          <w:p w14:paraId="72872EC5"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本课程以清华大学项目制培养模式为例，介绍了该校专业学位的培养目标与定位、发展思路等。</w:t>
            </w:r>
          </w:p>
        </w:tc>
        <w:tc>
          <w:tcPr>
            <w:tcW w:w="260" w:type="pct"/>
            <w:tcBorders>
              <w:top w:val="nil"/>
              <w:left w:val="nil"/>
              <w:bottom w:val="single" w:sz="4" w:space="0" w:color="000000"/>
              <w:right w:val="single" w:sz="4" w:space="0" w:color="000000"/>
            </w:tcBorders>
            <w:shd w:val="clear" w:color="auto" w:fill="auto"/>
            <w:noWrap/>
            <w:vAlign w:val="center"/>
            <w:hideMark/>
          </w:tcPr>
          <w:p w14:paraId="471A2045"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5054D5B3" w14:textId="0CB5390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0.78</w:t>
            </w:r>
          </w:p>
        </w:tc>
      </w:tr>
      <w:tr w:rsidR="00A00E67" w:rsidRPr="00A00E67" w14:paraId="7D482383"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7D5A5407"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59</w:t>
            </w:r>
          </w:p>
        </w:tc>
        <w:tc>
          <w:tcPr>
            <w:tcW w:w="1061" w:type="pct"/>
            <w:tcBorders>
              <w:top w:val="nil"/>
              <w:left w:val="nil"/>
              <w:bottom w:val="single" w:sz="4" w:space="0" w:color="000000"/>
              <w:right w:val="single" w:sz="4" w:space="0" w:color="000000"/>
            </w:tcBorders>
            <w:shd w:val="clear" w:color="auto" w:fill="auto"/>
            <w:vAlign w:val="center"/>
            <w:hideMark/>
          </w:tcPr>
          <w:p w14:paraId="0D569D1D"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聚焦研究生教育改革，推动教育管理队伍建设</w:t>
            </w:r>
          </w:p>
        </w:tc>
        <w:tc>
          <w:tcPr>
            <w:tcW w:w="2992" w:type="pct"/>
            <w:tcBorders>
              <w:top w:val="nil"/>
              <w:left w:val="nil"/>
              <w:bottom w:val="single" w:sz="4" w:space="0" w:color="000000"/>
              <w:right w:val="single" w:sz="4" w:space="0" w:color="000000"/>
            </w:tcBorders>
            <w:shd w:val="clear" w:color="auto" w:fill="auto"/>
            <w:vAlign w:val="center"/>
            <w:hideMark/>
          </w:tcPr>
          <w:p w14:paraId="4ED60BB8"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本课程以东华大学为例，介绍了该校激发研究生导师的积极性、主动性、不断提升教育管理队伍建设工作的若干举措。</w:t>
            </w:r>
          </w:p>
        </w:tc>
        <w:tc>
          <w:tcPr>
            <w:tcW w:w="260" w:type="pct"/>
            <w:tcBorders>
              <w:top w:val="nil"/>
              <w:left w:val="nil"/>
              <w:bottom w:val="single" w:sz="4" w:space="0" w:color="000000"/>
              <w:right w:val="single" w:sz="4" w:space="0" w:color="000000"/>
            </w:tcBorders>
            <w:shd w:val="clear" w:color="auto" w:fill="auto"/>
            <w:noWrap/>
            <w:vAlign w:val="center"/>
            <w:hideMark/>
          </w:tcPr>
          <w:p w14:paraId="048C75CD"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1B8FF8CA" w14:textId="1F597552"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1.49</w:t>
            </w:r>
          </w:p>
        </w:tc>
      </w:tr>
      <w:tr w:rsidR="00A00E67" w:rsidRPr="00A00E67" w14:paraId="45AB39F2" w14:textId="77777777" w:rsidTr="00A00E67">
        <w:trPr>
          <w:trHeight w:val="20"/>
        </w:trPr>
        <w:tc>
          <w:tcPr>
            <w:tcW w:w="269" w:type="pct"/>
            <w:tcBorders>
              <w:top w:val="nil"/>
              <w:left w:val="single" w:sz="4" w:space="0" w:color="000000"/>
              <w:bottom w:val="single" w:sz="4" w:space="0" w:color="000000"/>
              <w:right w:val="single" w:sz="4" w:space="0" w:color="000000"/>
            </w:tcBorders>
            <w:shd w:val="clear" w:color="auto" w:fill="auto"/>
            <w:noWrap/>
            <w:vAlign w:val="center"/>
            <w:hideMark/>
          </w:tcPr>
          <w:p w14:paraId="53875964" w14:textId="77777777"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60</w:t>
            </w:r>
          </w:p>
        </w:tc>
        <w:tc>
          <w:tcPr>
            <w:tcW w:w="1061" w:type="pct"/>
            <w:tcBorders>
              <w:top w:val="nil"/>
              <w:left w:val="nil"/>
              <w:bottom w:val="single" w:sz="4" w:space="0" w:color="000000"/>
              <w:right w:val="single" w:sz="4" w:space="0" w:color="000000"/>
            </w:tcBorders>
            <w:shd w:val="clear" w:color="auto" w:fill="auto"/>
            <w:vAlign w:val="center"/>
            <w:hideMark/>
          </w:tcPr>
          <w:p w14:paraId="0A7D3476"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研究生教育管理的成果表达</w:t>
            </w:r>
          </w:p>
        </w:tc>
        <w:tc>
          <w:tcPr>
            <w:tcW w:w="2992" w:type="pct"/>
            <w:tcBorders>
              <w:top w:val="nil"/>
              <w:left w:val="nil"/>
              <w:bottom w:val="single" w:sz="4" w:space="0" w:color="000000"/>
              <w:right w:val="single" w:sz="4" w:space="0" w:color="000000"/>
            </w:tcBorders>
            <w:shd w:val="clear" w:color="auto" w:fill="auto"/>
            <w:vAlign w:val="center"/>
            <w:hideMark/>
          </w:tcPr>
          <w:p w14:paraId="00525243" w14:textId="77777777" w:rsidR="00A00E67" w:rsidRPr="00A00E67" w:rsidRDefault="00A00E67" w:rsidP="00A00E67">
            <w:pPr>
              <w:widowControl/>
              <w:spacing w:line="280" w:lineRule="exact"/>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本课程介绍了学术论文、教学成果奖、研究报告等研究生教育成果的研究方法与撰写要点。</w:t>
            </w:r>
          </w:p>
        </w:tc>
        <w:tc>
          <w:tcPr>
            <w:tcW w:w="260" w:type="pct"/>
            <w:tcBorders>
              <w:top w:val="nil"/>
              <w:left w:val="nil"/>
              <w:bottom w:val="single" w:sz="4" w:space="0" w:color="000000"/>
              <w:right w:val="single" w:sz="4" w:space="0" w:color="000000"/>
            </w:tcBorders>
            <w:shd w:val="clear" w:color="auto" w:fill="auto"/>
            <w:noWrap/>
            <w:vAlign w:val="center"/>
            <w:hideMark/>
          </w:tcPr>
          <w:p w14:paraId="712A7B13" w14:textId="77777777" w:rsidR="00A00E67" w:rsidRPr="00A00E67" w:rsidRDefault="00A00E67" w:rsidP="003A42E4">
            <w:pPr>
              <w:widowControl/>
              <w:spacing w:line="24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教育动态</w:t>
            </w:r>
          </w:p>
        </w:tc>
        <w:tc>
          <w:tcPr>
            <w:tcW w:w="418" w:type="pct"/>
            <w:tcBorders>
              <w:top w:val="nil"/>
              <w:left w:val="nil"/>
              <w:bottom w:val="single" w:sz="4" w:space="0" w:color="000000"/>
              <w:right w:val="single" w:sz="4" w:space="0" w:color="000000"/>
            </w:tcBorders>
            <w:shd w:val="clear" w:color="auto" w:fill="auto"/>
            <w:noWrap/>
            <w:vAlign w:val="center"/>
            <w:hideMark/>
          </w:tcPr>
          <w:p w14:paraId="05C08497" w14:textId="45F691F9" w:rsidR="00A00E67" w:rsidRPr="00A00E67" w:rsidRDefault="00A00E67" w:rsidP="00A00E67">
            <w:pPr>
              <w:widowControl/>
              <w:spacing w:line="280" w:lineRule="exact"/>
              <w:jc w:val="center"/>
              <w:rPr>
                <w:rFonts w:ascii="仿宋" w:eastAsia="仿宋" w:hAnsi="仿宋" w:cs="宋体" w:hint="eastAsia"/>
                <w:color w:val="000000"/>
                <w:kern w:val="0"/>
                <w:szCs w:val="21"/>
              </w:rPr>
            </w:pPr>
            <w:r w:rsidRPr="00A00E67">
              <w:rPr>
                <w:rFonts w:ascii="仿宋" w:eastAsia="仿宋" w:hAnsi="仿宋" w:cs="宋体" w:hint="eastAsia"/>
                <w:color w:val="000000"/>
                <w:kern w:val="0"/>
                <w:szCs w:val="21"/>
              </w:rPr>
              <w:t>1.40</w:t>
            </w:r>
          </w:p>
        </w:tc>
      </w:tr>
    </w:tbl>
    <w:p w14:paraId="341D6D3C" w14:textId="54B57DC4" w:rsidR="00616311" w:rsidRDefault="00616311" w:rsidP="003A42E4">
      <w:pPr>
        <w:spacing w:line="580" w:lineRule="exact"/>
        <w:jc w:val="center"/>
      </w:pPr>
    </w:p>
    <w:sectPr w:rsidR="006163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6D3BBE" w14:textId="77777777" w:rsidR="00B77523" w:rsidRDefault="00B77523" w:rsidP="001E6C69">
      <w:r>
        <w:separator/>
      </w:r>
    </w:p>
  </w:endnote>
  <w:endnote w:type="continuationSeparator" w:id="0">
    <w:p w14:paraId="3864FE5C" w14:textId="77777777" w:rsidR="00B77523" w:rsidRDefault="00B77523" w:rsidP="001E6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3135E" w14:textId="77777777" w:rsidR="00B77523" w:rsidRDefault="00B77523" w:rsidP="001E6C69">
      <w:r>
        <w:separator/>
      </w:r>
    </w:p>
  </w:footnote>
  <w:footnote w:type="continuationSeparator" w:id="0">
    <w:p w14:paraId="19A4DF17" w14:textId="77777777" w:rsidR="00B77523" w:rsidRDefault="00B77523" w:rsidP="001E6C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311"/>
    <w:rsid w:val="001E6C69"/>
    <w:rsid w:val="00342651"/>
    <w:rsid w:val="003A42E4"/>
    <w:rsid w:val="00616311"/>
    <w:rsid w:val="00684849"/>
    <w:rsid w:val="00722E9A"/>
    <w:rsid w:val="008701E2"/>
    <w:rsid w:val="00A00E67"/>
    <w:rsid w:val="00AE797B"/>
    <w:rsid w:val="00B77523"/>
    <w:rsid w:val="00C1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640C4"/>
  <w15:chartTrackingRefBased/>
  <w15:docId w15:val="{41998A6C-BDFF-4742-816F-3EAF69E1D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631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6C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6C69"/>
    <w:rPr>
      <w:sz w:val="18"/>
      <w:szCs w:val="18"/>
    </w:rPr>
  </w:style>
  <w:style w:type="paragraph" w:styleId="a5">
    <w:name w:val="footer"/>
    <w:basedOn w:val="a"/>
    <w:link w:val="a6"/>
    <w:uiPriority w:val="99"/>
    <w:unhideWhenUsed/>
    <w:rsid w:val="001E6C69"/>
    <w:pPr>
      <w:tabs>
        <w:tab w:val="center" w:pos="4153"/>
        <w:tab w:val="right" w:pos="8306"/>
      </w:tabs>
      <w:snapToGrid w:val="0"/>
      <w:jc w:val="left"/>
    </w:pPr>
    <w:rPr>
      <w:sz w:val="18"/>
      <w:szCs w:val="18"/>
    </w:rPr>
  </w:style>
  <w:style w:type="character" w:customStyle="1" w:styleId="a6">
    <w:name w:val="页脚 字符"/>
    <w:basedOn w:val="a0"/>
    <w:link w:val="a5"/>
    <w:uiPriority w:val="99"/>
    <w:rsid w:val="001E6C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03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6</Pages>
  <Words>915</Words>
  <Characters>5217</Characters>
  <Application>Microsoft Office Word</Application>
  <DocSecurity>0</DocSecurity>
  <Lines>43</Lines>
  <Paragraphs>12</Paragraphs>
  <ScaleCrop>false</ScaleCrop>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yxy</dc:creator>
  <cp:keywords/>
  <dc:description/>
  <cp:lastModifiedBy>Windows 用户</cp:lastModifiedBy>
  <cp:revision>4</cp:revision>
  <dcterms:created xsi:type="dcterms:W3CDTF">2023-03-24T08:02:00Z</dcterms:created>
  <dcterms:modified xsi:type="dcterms:W3CDTF">2024-04-22T06:16:00Z</dcterms:modified>
</cp:coreProperties>
</file>