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200"/>
        <w:gridCol w:w="1291"/>
        <w:gridCol w:w="6851"/>
        <w:gridCol w:w="2217"/>
        <w:gridCol w:w="1718"/>
      </w:tblGrid>
      <w:tr w14:paraId="15690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</w:tcPr>
          <w:p w14:paraId="7D6B0B4C"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00" w:type="dxa"/>
          </w:tcPr>
          <w:p w14:paraId="4B1A10EB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291" w:type="dxa"/>
          </w:tcPr>
          <w:p w14:paraId="6EADD738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岗位数量</w:t>
            </w:r>
          </w:p>
        </w:tc>
        <w:tc>
          <w:tcPr>
            <w:tcW w:w="6851" w:type="dxa"/>
          </w:tcPr>
          <w:p w14:paraId="6D9AEFDC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217" w:type="dxa"/>
          </w:tcPr>
          <w:p w14:paraId="74C5B8C4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报名邮箱</w:t>
            </w:r>
          </w:p>
        </w:tc>
        <w:tc>
          <w:tcPr>
            <w:tcW w:w="1718" w:type="dxa"/>
          </w:tcPr>
          <w:p w14:paraId="59950C33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4035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51EE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vAlign w:val="center"/>
          </w:tcPr>
          <w:p w14:paraId="74E2A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KY01</w:t>
            </w:r>
          </w:p>
        </w:tc>
        <w:tc>
          <w:tcPr>
            <w:tcW w:w="1291" w:type="dxa"/>
            <w:vAlign w:val="center"/>
          </w:tcPr>
          <w:p w14:paraId="2BF2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vAlign w:val="center"/>
          </w:tcPr>
          <w:p w14:paraId="4C2D9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广西知识产权培训基地</w:t>
            </w:r>
          </w:p>
        </w:tc>
        <w:tc>
          <w:tcPr>
            <w:tcW w:w="2217" w:type="dxa"/>
            <w:vMerge w:val="restart"/>
            <w:vAlign w:val="center"/>
          </w:tcPr>
          <w:p w14:paraId="0224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962538128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@qq.com</w:t>
            </w:r>
          </w:p>
        </w:tc>
        <w:tc>
          <w:tcPr>
            <w:tcW w:w="1718" w:type="dxa"/>
            <w:vMerge w:val="restart"/>
            <w:vAlign w:val="center"/>
          </w:tcPr>
          <w:p w14:paraId="774DA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开展科研辅助工作</w:t>
            </w:r>
          </w:p>
          <w:p w14:paraId="6994B3A0">
            <w:pPr>
              <w:jc w:val="center"/>
              <w:rPr>
                <w:vertAlign w:val="baseline"/>
              </w:rPr>
            </w:pPr>
          </w:p>
        </w:tc>
      </w:tr>
      <w:tr w14:paraId="710A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76B0F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vAlign w:val="center"/>
          </w:tcPr>
          <w:p w14:paraId="739B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KY02</w:t>
            </w:r>
          </w:p>
        </w:tc>
        <w:tc>
          <w:tcPr>
            <w:tcW w:w="1291" w:type="dxa"/>
            <w:vAlign w:val="center"/>
          </w:tcPr>
          <w:p w14:paraId="042D7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51" w:type="dxa"/>
            <w:vAlign w:val="center"/>
          </w:tcPr>
          <w:p w14:paraId="474C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桂林市地方立法研究评估与咨询服务基地</w:t>
            </w:r>
          </w:p>
        </w:tc>
        <w:tc>
          <w:tcPr>
            <w:tcW w:w="2217" w:type="dxa"/>
            <w:vMerge w:val="continue"/>
            <w:vAlign w:val="center"/>
          </w:tcPr>
          <w:p w14:paraId="21B3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5F826A42">
            <w:pPr>
              <w:rPr>
                <w:vertAlign w:val="baseline"/>
              </w:rPr>
            </w:pPr>
          </w:p>
        </w:tc>
      </w:tr>
      <w:tr w14:paraId="52430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1291B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vAlign w:val="center"/>
          </w:tcPr>
          <w:p w14:paraId="6484A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KY03</w:t>
            </w:r>
          </w:p>
        </w:tc>
        <w:tc>
          <w:tcPr>
            <w:tcW w:w="1291" w:type="dxa"/>
            <w:vAlign w:val="center"/>
          </w:tcPr>
          <w:p w14:paraId="685C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vAlign w:val="center"/>
          </w:tcPr>
          <w:p w14:paraId="4B6E3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中国-东盟人工智能与法律研究中心</w:t>
            </w:r>
          </w:p>
        </w:tc>
        <w:tc>
          <w:tcPr>
            <w:tcW w:w="2217" w:type="dxa"/>
            <w:vMerge w:val="continue"/>
            <w:vAlign w:val="center"/>
          </w:tcPr>
          <w:p w14:paraId="3139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2FEEC806">
            <w:pPr>
              <w:rPr>
                <w:vertAlign w:val="baseline"/>
              </w:rPr>
            </w:pPr>
          </w:p>
        </w:tc>
      </w:tr>
      <w:tr w14:paraId="1A79C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70B2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vAlign w:val="center"/>
          </w:tcPr>
          <w:p w14:paraId="26201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KY04</w:t>
            </w:r>
          </w:p>
        </w:tc>
        <w:tc>
          <w:tcPr>
            <w:tcW w:w="1291" w:type="dxa"/>
            <w:vAlign w:val="center"/>
          </w:tcPr>
          <w:p w14:paraId="4AAAB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vAlign w:val="center"/>
          </w:tcPr>
          <w:p w14:paraId="63680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印度嫁妆制度及其现代法律变革研究与较鉴</w:t>
            </w:r>
          </w:p>
        </w:tc>
        <w:tc>
          <w:tcPr>
            <w:tcW w:w="2217" w:type="dxa"/>
            <w:vMerge w:val="continue"/>
            <w:vAlign w:val="center"/>
          </w:tcPr>
          <w:p w14:paraId="4AD3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2DD0B53E">
            <w:pPr>
              <w:rPr>
                <w:vertAlign w:val="baseline"/>
              </w:rPr>
            </w:pPr>
          </w:p>
        </w:tc>
      </w:tr>
      <w:tr w14:paraId="6745D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2620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vAlign w:val="center"/>
          </w:tcPr>
          <w:p w14:paraId="0C50E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KY05</w:t>
            </w:r>
          </w:p>
        </w:tc>
        <w:tc>
          <w:tcPr>
            <w:tcW w:w="1291" w:type="dxa"/>
            <w:vAlign w:val="center"/>
          </w:tcPr>
          <w:p w14:paraId="2C2FC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vAlign w:val="center"/>
          </w:tcPr>
          <w:p w14:paraId="1CFF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全球治理视阈下数据跨境流动的国际规则与中国方案研究</w:t>
            </w:r>
          </w:p>
        </w:tc>
        <w:tc>
          <w:tcPr>
            <w:tcW w:w="2217" w:type="dxa"/>
            <w:vMerge w:val="continue"/>
            <w:vAlign w:val="center"/>
          </w:tcPr>
          <w:p w14:paraId="73316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212DF096">
            <w:pPr>
              <w:rPr>
                <w:vertAlign w:val="baseline"/>
              </w:rPr>
            </w:pPr>
          </w:p>
        </w:tc>
      </w:tr>
      <w:tr w14:paraId="3F489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40A5C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vAlign w:val="center"/>
          </w:tcPr>
          <w:p w14:paraId="727A6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KY06</w:t>
            </w:r>
          </w:p>
        </w:tc>
        <w:tc>
          <w:tcPr>
            <w:tcW w:w="1291" w:type="dxa"/>
            <w:vAlign w:val="center"/>
          </w:tcPr>
          <w:p w14:paraId="1131E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vAlign w:val="center"/>
          </w:tcPr>
          <w:p w14:paraId="4C890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共同富裕进程中的普惠保险法治保障研究</w:t>
            </w:r>
          </w:p>
        </w:tc>
        <w:tc>
          <w:tcPr>
            <w:tcW w:w="2217" w:type="dxa"/>
            <w:vMerge w:val="continue"/>
            <w:vAlign w:val="center"/>
          </w:tcPr>
          <w:p w14:paraId="63CE5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5F756748">
            <w:pPr>
              <w:rPr>
                <w:vertAlign w:val="baseline"/>
              </w:rPr>
            </w:pPr>
          </w:p>
        </w:tc>
      </w:tr>
      <w:tr w14:paraId="34934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3FFE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vAlign w:val="center"/>
          </w:tcPr>
          <w:p w14:paraId="1E82B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KY07</w:t>
            </w:r>
          </w:p>
        </w:tc>
        <w:tc>
          <w:tcPr>
            <w:tcW w:w="1291" w:type="dxa"/>
            <w:vAlign w:val="center"/>
          </w:tcPr>
          <w:p w14:paraId="5987D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51" w:type="dxa"/>
            <w:vAlign w:val="center"/>
          </w:tcPr>
          <w:p w14:paraId="0B4D4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全民所有自然资源委托代理视阙下广西土地资源利用规则研究</w:t>
            </w:r>
          </w:p>
        </w:tc>
        <w:tc>
          <w:tcPr>
            <w:tcW w:w="2217" w:type="dxa"/>
            <w:vMerge w:val="continue"/>
            <w:vAlign w:val="center"/>
          </w:tcPr>
          <w:p w14:paraId="54DE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1264EF0B">
            <w:pPr>
              <w:rPr>
                <w:vertAlign w:val="baseline"/>
              </w:rPr>
            </w:pPr>
          </w:p>
        </w:tc>
      </w:tr>
      <w:tr w14:paraId="651BF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322DC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vAlign w:val="center"/>
          </w:tcPr>
          <w:p w14:paraId="7B4AB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KY08</w:t>
            </w:r>
          </w:p>
        </w:tc>
        <w:tc>
          <w:tcPr>
            <w:tcW w:w="1291" w:type="dxa"/>
            <w:vAlign w:val="center"/>
          </w:tcPr>
          <w:p w14:paraId="6CE0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51" w:type="dxa"/>
            <w:vAlign w:val="center"/>
          </w:tcPr>
          <w:p w14:paraId="74AB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乡村振兴视域下广西农业知识产权的转化研究</w:t>
            </w:r>
          </w:p>
        </w:tc>
        <w:tc>
          <w:tcPr>
            <w:tcW w:w="2217" w:type="dxa"/>
            <w:vMerge w:val="continue"/>
            <w:vAlign w:val="center"/>
          </w:tcPr>
          <w:p w14:paraId="2701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16E19CC6">
            <w:pPr>
              <w:rPr>
                <w:vertAlign w:val="baseline"/>
              </w:rPr>
            </w:pPr>
          </w:p>
        </w:tc>
      </w:tr>
      <w:tr w14:paraId="4637B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5E8B8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vAlign w:val="center"/>
          </w:tcPr>
          <w:p w14:paraId="718FD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KY09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1460A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2090C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桂林旅游投资集团有限公司依法治理法律服务</w:t>
            </w:r>
          </w:p>
        </w:tc>
        <w:tc>
          <w:tcPr>
            <w:tcW w:w="2217" w:type="dxa"/>
            <w:vMerge w:val="continue"/>
            <w:vAlign w:val="center"/>
          </w:tcPr>
          <w:p w14:paraId="7D449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05A0D180">
            <w:pPr>
              <w:rPr>
                <w:vertAlign w:val="baseline"/>
              </w:rPr>
            </w:pPr>
          </w:p>
        </w:tc>
      </w:tr>
    </w:tbl>
    <w:p w14:paraId="6B4727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</w:t>
      </w:r>
    </w:p>
    <w:p w14:paraId="49FFA0B9">
      <w:pPr>
        <w:rPr>
          <w:rFonts w:hint="eastAsia"/>
          <w:lang w:val="en-US" w:eastAsia="zh-CN"/>
        </w:rPr>
      </w:pPr>
    </w:p>
    <w:p w14:paraId="4352FB4F">
      <w:pPr>
        <w:rPr>
          <w:rFonts w:hint="eastAsia"/>
          <w:lang w:val="en-US" w:eastAsia="zh-CN"/>
        </w:rPr>
      </w:pPr>
    </w:p>
    <w:p w14:paraId="5F5956F8">
      <w:pPr>
        <w:rPr>
          <w:rFonts w:hint="eastAsia"/>
          <w:lang w:val="en-US" w:eastAsia="zh-CN"/>
        </w:rPr>
      </w:pPr>
    </w:p>
    <w:p w14:paraId="0BF7195B">
      <w:pPr>
        <w:rPr>
          <w:rFonts w:hint="eastAsia"/>
          <w:lang w:val="en-US" w:eastAsia="zh-CN"/>
        </w:rPr>
      </w:pPr>
    </w:p>
    <w:p w14:paraId="595ED545">
      <w:pPr>
        <w:rPr>
          <w:rFonts w:hint="eastAsia"/>
          <w:lang w:val="en-US" w:eastAsia="zh-CN"/>
        </w:rPr>
      </w:pPr>
    </w:p>
    <w:p w14:paraId="19B32E4F">
      <w:pPr>
        <w:rPr>
          <w:rFonts w:hint="eastAsia"/>
          <w:lang w:val="en-US" w:eastAsia="zh-CN"/>
        </w:rPr>
      </w:pPr>
    </w:p>
    <w:p w14:paraId="10C8AA76">
      <w:pPr>
        <w:rPr>
          <w:rFonts w:hint="eastAsia"/>
          <w:lang w:val="en-US" w:eastAsia="zh-CN"/>
        </w:rPr>
      </w:pPr>
    </w:p>
    <w:p w14:paraId="1CADF151">
      <w:pPr>
        <w:rPr>
          <w:rFonts w:hint="eastAsia"/>
          <w:lang w:val="en-US" w:eastAsia="zh-CN"/>
        </w:rPr>
      </w:pPr>
    </w:p>
    <w:p w14:paraId="5CFB817C">
      <w:pPr>
        <w:rPr>
          <w:rFonts w:hint="eastAsia"/>
          <w:lang w:val="en-US" w:eastAsia="zh-CN"/>
        </w:rPr>
      </w:pPr>
    </w:p>
    <w:p w14:paraId="00D6E9BD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02F8A"/>
    <w:rsid w:val="17CB4A64"/>
    <w:rsid w:val="20A02F8A"/>
    <w:rsid w:val="236C4F27"/>
    <w:rsid w:val="541B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273</Characters>
  <Lines>0</Lines>
  <Paragraphs>0</Paragraphs>
  <TotalTime>19</TotalTime>
  <ScaleCrop>false</ScaleCrop>
  <LinksUpToDate>false</LinksUpToDate>
  <CharactersWithSpaces>273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2025-07-21T10:36:00Z</dcterms:created>
  <dc:creator>带坏小优</dc:creator>
  <cp:lastModifiedBy>带坏小优</cp:lastModifiedBy>
  <dcterms:modified xsi:type="dcterms:W3CDTF">2025-07-22T01:21:06Z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5BF09C27FD6645E1978CBDFEB8BB46FF_11</vt:lpwstr>
  </property>
  <property fmtid="{D5CDD505-2E9C-101B-9397-08002B2CF9AE}" pid="4" name="KSOTemplateDocerSaveRecord">
    <vt:lpwstr>eyJoZGlkIjoiYzczNzY2NDMzMDkwZTZiZGM0NGExYjRlNGI0NjJhN2UiLCJ1c2VySWQiOiI0MjIxNDg0MTcifQ==</vt:lpwstr>
  </property>
</Properties>
</file>