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561A6780">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b/>
          <w:sz w:val="28"/>
          <w:szCs w:val="22"/>
        </w:rPr>
      </w:pPr>
      <w:r>
        <w:rPr>
          <w:rFonts w:ascii="微软雅黑" w:eastAsia="微软雅黑" w:hAnsi="微软雅黑" w:hint="eastAsia"/>
          <w:b/>
          <w:sz w:val="28"/>
          <w:szCs w:val="22"/>
        </w:rPr>
        <w:t>惠州市</w:t>
      </w:r>
      <w:r>
        <w:rPr>
          <w:rFonts w:ascii="微软雅黑" w:eastAsia="微软雅黑" w:hAnsi="微软雅黑"/>
          <w:b/>
          <w:sz w:val="28"/>
          <w:szCs w:val="22"/>
        </w:rPr>
        <w:t>德赛电池</w:t>
      </w:r>
      <w:r>
        <w:rPr>
          <w:rFonts w:ascii="微软雅黑" w:eastAsia="微软雅黑" w:hAnsi="微软雅黑" w:hint="eastAsia"/>
          <w:b/>
          <w:sz w:val="28"/>
          <w:szCs w:val="22"/>
        </w:rPr>
        <w:t>有限</w:t>
      </w:r>
      <w:r>
        <w:rPr>
          <w:rFonts w:ascii="微软雅黑" w:eastAsia="微软雅黑" w:hAnsi="微软雅黑"/>
          <w:b/>
          <w:sz w:val="28"/>
          <w:szCs w:val="22"/>
        </w:rPr>
        <w:t>公司</w:t>
      </w:r>
    </w:p>
    <w:p w14:paraId="521E8C3E">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b/>
          <w:sz w:val="28"/>
          <w:szCs w:val="22"/>
        </w:rPr>
      </w:pPr>
      <w:r>
        <w:rPr>
          <w:rFonts w:ascii="微软雅黑" w:eastAsia="微软雅黑" w:hAnsi="微软雅黑" w:hint="eastAsia"/>
          <w:b/>
          <w:sz w:val="28"/>
          <w:szCs w:val="22"/>
        </w:rPr>
        <w:t>202</w:t>
      </w:r>
      <w:r>
        <w:rPr>
          <w:rFonts w:ascii="微软雅黑" w:eastAsia="微软雅黑" w:hAnsi="微软雅黑" w:hint="eastAsia"/>
          <w:b/>
          <w:sz w:val="28"/>
          <w:szCs w:val="22"/>
          <w:lang w:val="en-US" w:eastAsia="zh-CN"/>
        </w:rPr>
        <w:t>6</w:t>
      </w:r>
      <w:r>
        <w:rPr>
          <w:rFonts w:ascii="微软雅黑" w:eastAsia="微软雅黑" w:hAnsi="微软雅黑" w:hint="eastAsia"/>
          <w:b/>
          <w:sz w:val="28"/>
          <w:szCs w:val="22"/>
        </w:rPr>
        <w:t>届毕业生</w:t>
      </w:r>
      <w:r>
        <w:rPr>
          <w:rFonts w:ascii="微软雅黑" w:eastAsia="微软雅黑" w:hAnsi="微软雅黑"/>
          <w:b/>
          <w:sz w:val="28"/>
          <w:szCs w:val="22"/>
        </w:rPr>
        <w:t>招聘简章</w:t>
      </w:r>
    </w:p>
    <w:p w14:paraId="62420BEC">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szCs w:val="24"/>
        </w:rPr>
      </w:pPr>
      <w:r>
        <w:rPr>
          <w:rFonts w:ascii="微软雅黑" w:eastAsia="微软雅黑" w:hAnsi="微软雅黑" w:hint="eastAsia"/>
          <w:b/>
          <w:szCs w:val="24"/>
        </w:rPr>
        <w:t>一</w:t>
      </w:r>
      <w:r>
        <w:rPr>
          <w:rFonts w:ascii="微软雅黑" w:eastAsia="微软雅黑" w:hAnsi="微软雅黑"/>
          <w:b/>
          <w:szCs w:val="24"/>
        </w:rPr>
        <w:t>、</w:t>
      </w:r>
      <w:r>
        <w:rPr>
          <w:rFonts w:ascii="微软雅黑" w:eastAsia="微软雅黑" w:hAnsi="微软雅黑" w:hint="eastAsia"/>
          <w:b/>
          <w:szCs w:val="24"/>
        </w:rPr>
        <w:t>公司简介</w:t>
      </w:r>
    </w:p>
    <w:p w14:paraId="62A9C1A3">
      <w:pPr>
        <w:pStyle w:val="style0"/>
        <w:keepNext w:val="false"/>
        <w:keepLines w:val="false"/>
        <w:pageBreakBefore w:val="false"/>
        <w:kinsoku/>
        <w:wordWrap/>
        <w:overflowPunct/>
        <w:topLinePunct w:val="false"/>
        <w:autoSpaceDE/>
        <w:autoSpaceDN/>
        <w:bidi w:val="false"/>
        <w:adjustRightInd/>
        <w:snapToGrid w:val="false"/>
        <w:spacing w:lineRule="auto" w:line="240"/>
        <w:ind w:firstLine="420" w:firstLineChars="200"/>
        <w:textAlignment w:val="auto"/>
        <w:rPr>
          <w:rFonts w:ascii="微软雅黑" w:eastAsia="微软雅黑" w:hAnsi="微软雅黑"/>
          <w:szCs w:val="24"/>
        </w:rPr>
      </w:pPr>
      <w:r>
        <w:rPr>
          <w:rFonts w:ascii="微软雅黑" w:eastAsia="微软雅黑" w:hAnsi="微软雅黑" w:hint="eastAsia"/>
          <w:color w:val="ff0000"/>
          <w:szCs w:val="24"/>
        </w:rPr>
        <w:t>惠州市德赛电池有限公司，</w:t>
      </w:r>
      <w:r>
        <w:rPr>
          <w:rFonts w:ascii="微软雅黑" w:eastAsia="微软雅黑" w:hAnsi="微软雅黑"/>
          <w:color w:val="ff0000"/>
          <w:szCs w:val="24"/>
        </w:rPr>
        <w:t>成立于2002年10月22日</w:t>
      </w:r>
      <w:r>
        <w:rPr>
          <w:rFonts w:ascii="微软雅黑" w:eastAsia="微软雅黑" w:hAnsi="微软雅黑" w:hint="eastAsia"/>
          <w:color w:val="ff0000"/>
          <w:szCs w:val="24"/>
        </w:rPr>
        <w:t>，为深圳市德赛电池科技股份有限公司的全资子公司，母公司在深交所主板上市（股票代码：000049）</w:t>
      </w:r>
      <w:r>
        <w:rPr>
          <w:rFonts w:ascii="微软雅黑" w:eastAsia="微软雅黑" w:hAnsi="微软雅黑" w:hint="eastAsia"/>
          <w:szCs w:val="24"/>
        </w:rPr>
        <w:t>。公司致力于锂电池相关产品的研发、制造与销售，不断追求电池核心技术的创新和突破</w:t>
      </w:r>
      <w:r>
        <w:rPr>
          <w:rFonts w:ascii="微软雅黑" w:eastAsia="微软雅黑" w:hAnsi="微软雅黑" w:hint="eastAsia"/>
          <w:szCs w:val="24"/>
          <w:lang w:eastAsia="zh-CN"/>
        </w:rPr>
        <w:t>，</w:t>
      </w:r>
      <w:r>
        <w:rPr>
          <w:rFonts w:ascii="微软雅黑" w:eastAsia="微软雅黑" w:hAnsi="微软雅黑" w:hint="eastAsia"/>
          <w:szCs w:val="24"/>
        </w:rPr>
        <w:t>同时，积极开展终端电子产品的智能装配业务。德赛电池拥有行业领先的锂电池开发设计与高端封装技术、高端智能硬件装配工艺技术，建有现代化的自动化生产工厂和高规格的电池性能测试实验室。公司产品广泛应用于智能手机、笔记本电脑、医疗器械、电动自行车、平衡车、汽车启停、无人机、储能、智能物联等终端产品和设备。致力于成为全球一流的新能源解决方案提供商及相关电子产品专业制造商。</w:t>
      </w:r>
    </w:p>
    <w:p w14:paraId="1AAA2F61">
      <w:pPr>
        <w:pStyle w:val="style0"/>
        <w:keepNext w:val="false"/>
        <w:keepLines w:val="false"/>
        <w:pageBreakBefore w:val="false"/>
        <w:kinsoku/>
        <w:wordWrap/>
        <w:overflowPunct/>
        <w:topLinePunct w:val="false"/>
        <w:autoSpaceDE/>
        <w:autoSpaceDN/>
        <w:bidi w:val="false"/>
        <w:adjustRightInd/>
        <w:snapToGrid w:val="false"/>
        <w:spacing w:lineRule="auto" w:line="240"/>
        <w:ind w:firstLine="420" w:firstLineChars="200"/>
        <w:textAlignment w:val="auto"/>
        <w:rPr>
          <w:rFonts w:ascii="微软雅黑" w:eastAsia="微软雅黑" w:hAnsi="微软雅黑"/>
          <w:szCs w:val="24"/>
        </w:rPr>
      </w:pPr>
      <w:r>
        <w:rPr>
          <w:rFonts w:ascii="微软雅黑" w:eastAsia="微软雅黑" w:hAnsi="微软雅黑" w:hint="eastAsia"/>
          <w:szCs w:val="24"/>
        </w:rPr>
        <w:t>德赛电池现拥有惠州仲恺、惠州惠南</w:t>
      </w:r>
      <w:r>
        <w:rPr>
          <w:rFonts w:ascii="微软雅黑" w:eastAsia="微软雅黑" w:hAnsi="微软雅黑" w:hint="eastAsia"/>
          <w:szCs w:val="24"/>
          <w:lang w:val="en-US" w:eastAsia="zh-CN"/>
        </w:rPr>
        <w:t>、惠州龙门、</w:t>
      </w:r>
      <w:r>
        <w:rPr>
          <w:rFonts w:ascii="微软雅黑" w:eastAsia="微软雅黑" w:hAnsi="微软雅黑" w:hint="eastAsia"/>
          <w:szCs w:val="24"/>
        </w:rPr>
        <w:t>长沙望城、越南北宁等多个工业园区，已形成配套设施齐全、装备先进、管理精益的现代化制造体系，来满足全球客户的快速需求。</w:t>
      </w:r>
      <w:r>
        <w:rPr>
          <w:rFonts w:ascii="微软雅黑" w:eastAsia="微软雅黑" w:hAnsi="微软雅黑" w:hint="eastAsia"/>
          <w:szCs w:val="24"/>
          <w:lang w:val="en-US" w:eastAsia="zh-CN"/>
        </w:rPr>
        <w:t>作为</w:t>
      </w:r>
      <w:r>
        <w:rPr>
          <w:rFonts w:ascii="微软雅黑" w:eastAsia="微软雅黑" w:hAnsi="微软雅黑" w:hint="eastAsia"/>
          <w:szCs w:val="24"/>
        </w:rPr>
        <w:t>工信部锂离子电池安全标准特别工作组全权成员单位、广东省</w:t>
      </w:r>
      <w:r>
        <w:rPr>
          <w:rFonts w:ascii="微软雅黑" w:eastAsia="微软雅黑" w:hAnsi="微软雅黑"/>
          <w:szCs w:val="24"/>
        </w:rPr>
        <w:t>电池</w:t>
      </w:r>
      <w:r>
        <w:rPr>
          <w:rFonts w:ascii="微软雅黑" w:eastAsia="微软雅黑" w:hAnsi="微软雅黑" w:hint="eastAsia"/>
          <w:szCs w:val="24"/>
        </w:rPr>
        <w:t>行业领军</w:t>
      </w:r>
      <w:r>
        <w:rPr>
          <w:rFonts w:ascii="微软雅黑" w:eastAsia="微软雅黑" w:hAnsi="微软雅黑"/>
          <w:szCs w:val="24"/>
        </w:rPr>
        <w:t>企业</w:t>
      </w:r>
      <w:r>
        <w:rPr>
          <w:rFonts w:ascii="微软雅黑" w:eastAsia="微软雅黑" w:hAnsi="微软雅黑" w:hint="eastAsia"/>
          <w:szCs w:val="24"/>
        </w:rPr>
        <w:t>，</w:t>
      </w:r>
      <w:r>
        <w:rPr>
          <w:rFonts w:hint="eastAsia"/>
        </w:rPr>
        <w:t xml:space="preserve"> </w:t>
      </w:r>
      <w:r>
        <w:rPr>
          <w:rFonts w:ascii="微软雅黑" w:eastAsia="微软雅黑" w:hAnsi="微软雅黑" w:hint="eastAsia"/>
          <w:szCs w:val="24"/>
        </w:rPr>
        <w:t>惠州市高新技术产业协会理事单位</w:t>
      </w:r>
      <w:r>
        <w:rPr>
          <w:rFonts w:ascii="微软雅黑" w:eastAsia="微软雅黑" w:hAnsi="微软雅黑"/>
          <w:szCs w:val="24"/>
        </w:rPr>
        <w:t>，</w:t>
      </w:r>
      <w:r>
        <w:rPr>
          <w:rFonts w:ascii="微软雅黑" w:eastAsia="微软雅黑" w:hAnsi="微软雅黑" w:hint="eastAsia"/>
          <w:szCs w:val="24"/>
          <w:lang w:val="en-US" w:eastAsia="zh-CN"/>
        </w:rPr>
        <w:t>公司近年来荣获“2023年度国家级绿色工厂”</w:t>
      </w:r>
      <w:r>
        <w:rPr>
          <w:rFonts w:ascii="微软雅黑" w:eastAsia="微软雅黑" w:hAnsi="微软雅黑" w:hint="eastAsia"/>
          <w:szCs w:val="24"/>
        </w:rPr>
        <w:t>、“广东省级企业技术中心”、</w:t>
      </w:r>
      <w:r>
        <w:rPr>
          <w:rFonts w:ascii="微软雅黑" w:eastAsia="微软雅黑" w:hAnsi="微软雅黑"/>
          <w:szCs w:val="24"/>
        </w:rPr>
        <w:t>“</w:t>
      </w:r>
      <w:r>
        <w:rPr>
          <w:rFonts w:ascii="微软雅黑" w:eastAsia="微软雅黑" w:hAnsi="微软雅黑" w:hint="eastAsia"/>
          <w:szCs w:val="24"/>
        </w:rPr>
        <w:t>广东省储能电池集成应用和管理工程技术研究中心</w:t>
      </w:r>
      <w:r>
        <w:rPr>
          <w:rFonts w:ascii="微软雅黑" w:eastAsia="微软雅黑" w:hAnsi="微软雅黑"/>
          <w:szCs w:val="24"/>
        </w:rPr>
        <w:t>”</w:t>
      </w:r>
      <w:r>
        <w:rPr>
          <w:rFonts w:ascii="微软雅黑" w:eastAsia="微软雅黑" w:hAnsi="微软雅黑" w:hint="eastAsia"/>
          <w:szCs w:val="24"/>
          <w:lang w:eastAsia="zh-CN"/>
        </w:rPr>
        <w:t>、“卓越电池企业”、“工商业储能卓越企业”</w:t>
      </w:r>
      <w:r>
        <w:rPr>
          <w:rFonts w:ascii="微软雅黑" w:eastAsia="微软雅黑" w:hAnsi="微软雅黑" w:hint="eastAsia"/>
          <w:szCs w:val="24"/>
        </w:rPr>
        <w:t>等</w:t>
      </w:r>
      <w:r>
        <w:rPr>
          <w:rFonts w:ascii="微软雅黑" w:eastAsia="微软雅黑" w:hAnsi="微软雅黑" w:hint="eastAsia"/>
          <w:szCs w:val="24"/>
          <w:lang w:val="en-US" w:eastAsia="zh-CN"/>
        </w:rPr>
        <w:t>多项国家级、省级与行业荣誉</w:t>
      </w:r>
      <w:r>
        <w:rPr>
          <w:rFonts w:ascii="微软雅黑" w:eastAsia="微软雅黑" w:hAnsi="微软雅黑"/>
          <w:szCs w:val="24"/>
        </w:rPr>
        <w:t>。</w:t>
      </w:r>
    </w:p>
    <w:p w14:paraId="085E9F79">
      <w:pPr>
        <w:pStyle w:val="style0"/>
        <w:keepNext w:val="false"/>
        <w:keepLines w:val="false"/>
        <w:pageBreakBefore w:val="false"/>
        <w:kinsoku/>
        <w:wordWrap/>
        <w:overflowPunct/>
        <w:topLinePunct w:val="false"/>
        <w:autoSpaceDE/>
        <w:autoSpaceDN/>
        <w:bidi w:val="false"/>
        <w:adjustRightInd/>
        <w:snapToGrid w:val="false"/>
        <w:spacing w:lineRule="auto" w:line="240"/>
        <w:ind w:firstLine="420" w:firstLineChars="200"/>
        <w:textAlignment w:val="auto"/>
        <w:rPr>
          <w:rFonts w:ascii="微软雅黑" w:eastAsia="微软雅黑" w:hAnsi="微软雅黑" w:hint="eastAsia"/>
          <w:szCs w:val="24"/>
        </w:rPr>
      </w:pPr>
      <w:r>
        <w:rPr>
          <w:rFonts w:ascii="微软雅黑" w:eastAsia="微软雅黑" w:hAnsi="微软雅黑" w:hint="eastAsia"/>
          <w:szCs w:val="24"/>
          <w:lang w:val="en-US" w:eastAsia="zh-CN"/>
        </w:rPr>
        <w:t>德赛电池</w:t>
      </w:r>
      <w:r>
        <w:rPr>
          <w:rFonts w:ascii="微软雅黑" w:eastAsia="微软雅黑" w:hAnsi="微软雅黑" w:hint="eastAsia"/>
          <w:szCs w:val="24"/>
        </w:rPr>
        <w:t>始终秉持“同奋斗</w:t>
      </w:r>
      <w:r>
        <w:rPr>
          <w:rFonts w:ascii="微软雅黑" w:eastAsia="微软雅黑" w:hAnsi="微软雅黑" w:hint="eastAsia"/>
          <w:szCs w:val="24"/>
          <w:lang w:eastAsia="zh-CN"/>
        </w:rPr>
        <w:t>，</w:t>
      </w:r>
      <w:r>
        <w:rPr>
          <w:rFonts w:ascii="微软雅黑" w:eastAsia="微软雅黑" w:hAnsi="微软雅黑" w:hint="eastAsia"/>
          <w:szCs w:val="24"/>
          <w:lang w:val="en-US" w:eastAsia="zh-CN"/>
        </w:rPr>
        <w:t>共成长</w:t>
      </w:r>
      <w:r>
        <w:rPr>
          <w:rFonts w:ascii="微软雅黑" w:eastAsia="微软雅黑" w:hAnsi="微软雅黑" w:hint="eastAsia"/>
          <w:szCs w:val="24"/>
        </w:rPr>
        <w:t>”的人才</w:t>
      </w:r>
      <w:r>
        <w:rPr>
          <w:rFonts w:ascii="微软雅黑" w:eastAsia="微软雅黑" w:hAnsi="微软雅黑" w:hint="eastAsia"/>
          <w:szCs w:val="24"/>
          <w:lang w:val="en-US" w:eastAsia="zh-CN"/>
        </w:rPr>
        <w:t>观</w:t>
      </w:r>
      <w:r>
        <w:rPr>
          <w:rFonts w:ascii="微软雅黑" w:eastAsia="微软雅黑" w:hAnsi="微软雅黑" w:hint="eastAsia"/>
          <w:szCs w:val="24"/>
        </w:rPr>
        <w:t>，重视每一位员工的职业发展。2024-2025年度，德赛电池</w:t>
      </w:r>
      <w:r>
        <w:rPr>
          <w:rFonts w:ascii="微软雅黑" w:eastAsia="微软雅黑" w:hAnsi="微软雅黑" w:hint="eastAsia"/>
          <w:szCs w:val="24"/>
          <w:lang w:val="en-US" w:eastAsia="zh-CN"/>
        </w:rPr>
        <w:t>先后</w:t>
      </w:r>
      <w:r>
        <w:rPr>
          <w:rFonts w:ascii="微软雅黑" w:eastAsia="微软雅黑" w:hAnsi="微软雅黑" w:hint="eastAsia"/>
          <w:szCs w:val="24"/>
        </w:rPr>
        <w:t>荣获“招才引智奖”和“数智招聘生态伙伴奖”，雇主品牌影响力持续提升。</w:t>
      </w:r>
    </w:p>
    <w:p w14:paraId="0F431919">
      <w:pPr>
        <w:pStyle w:val="style0"/>
        <w:keepNext w:val="false"/>
        <w:keepLines w:val="false"/>
        <w:pageBreakBefore w:val="false"/>
        <w:kinsoku/>
        <w:wordWrap/>
        <w:overflowPunct/>
        <w:topLinePunct w:val="false"/>
        <w:autoSpaceDE/>
        <w:autoSpaceDN/>
        <w:bidi w:val="false"/>
        <w:adjustRightInd/>
        <w:snapToGrid w:val="false"/>
        <w:spacing w:lineRule="auto" w:line="240"/>
        <w:ind w:firstLine="420" w:firstLineChars="200"/>
        <w:textAlignment w:val="auto"/>
        <w:rPr>
          <w:rFonts w:ascii="微软雅黑" w:eastAsia="微软雅黑" w:hAnsi="微软雅黑" w:hint="eastAsia"/>
          <w:szCs w:val="24"/>
        </w:rPr>
      </w:pPr>
    </w:p>
    <w:p w14:paraId="3B2AF28D">
      <w:pPr>
        <w:pStyle w:val="style0"/>
        <w:keepNext w:val="false"/>
        <w:keepLines w:val="false"/>
        <w:pageBreakBefore w:val="false"/>
        <w:kinsoku/>
        <w:wordWrap/>
        <w:overflowPunct/>
        <w:topLinePunct w:val="false"/>
        <w:autoSpaceDE/>
        <w:autoSpaceDN/>
        <w:bidi w:val="false"/>
        <w:adjustRightInd/>
        <w:snapToGrid w:val="false"/>
        <w:spacing w:lineRule="auto" w:line="240"/>
        <w:ind w:firstLine="420" w:firstLineChars="200"/>
        <w:textAlignment w:val="auto"/>
        <w:rPr>
          <w:rFonts w:ascii="微软雅黑" w:eastAsia="微软雅黑" w:hAnsi="微软雅黑" w:hint="eastAsia"/>
          <w:color w:val="ff0000"/>
          <w:szCs w:val="24"/>
          <w:lang w:val="en-US" w:eastAsia="zh-CN"/>
        </w:rPr>
      </w:pPr>
      <w:r>
        <w:rPr>
          <w:rFonts w:ascii="微软雅黑" w:eastAsia="微软雅黑" w:hAnsi="微软雅黑" w:hint="eastAsia"/>
          <w:color w:val="ff0000"/>
          <w:szCs w:val="24"/>
        </w:rPr>
        <w:t>在</w:t>
      </w:r>
      <w:r>
        <w:rPr>
          <w:rFonts w:ascii="微软雅黑" w:eastAsia="微软雅黑" w:hAnsi="微软雅黑" w:hint="eastAsia"/>
          <w:color w:val="ff0000"/>
          <w:szCs w:val="24"/>
          <w:lang w:val="en-US" w:eastAsia="zh-CN"/>
        </w:rPr>
        <w:t>德赛电池</w:t>
      </w:r>
      <w:r>
        <w:rPr>
          <w:rFonts w:ascii="微软雅黑" w:eastAsia="微软雅黑" w:hAnsi="微软雅黑" w:hint="eastAsia"/>
          <w:color w:val="ff0000"/>
          <w:szCs w:val="24"/>
        </w:rPr>
        <w:t>，你将接触前沿技术、参与重大项目、与行业专家共事</w:t>
      </w:r>
      <w:r>
        <w:rPr>
          <w:rFonts w:ascii="微软雅黑" w:eastAsia="微软雅黑" w:hAnsi="微软雅黑" w:hint="eastAsia"/>
          <w:color w:val="ff0000"/>
          <w:szCs w:val="24"/>
          <w:lang w:eastAsia="zh-CN"/>
        </w:rPr>
        <w:t>。</w:t>
      </w:r>
      <w:r>
        <w:rPr>
          <w:rFonts w:ascii="微软雅黑" w:eastAsia="微软雅黑" w:hAnsi="微软雅黑" w:hint="eastAsia"/>
          <w:color w:val="ff0000"/>
          <w:szCs w:val="24"/>
        </w:rPr>
        <w:t>我们期待怀揣梦想、热爱创新的你，加入我们，</w:t>
      </w:r>
      <w:r>
        <w:rPr>
          <w:rFonts w:ascii="微软雅黑" w:eastAsia="微软雅黑" w:hAnsi="微软雅黑" w:hint="eastAsia"/>
          <w:color w:val="ff0000"/>
          <w:szCs w:val="24"/>
          <w:lang w:val="en-US" w:eastAsia="zh-CN"/>
        </w:rPr>
        <w:t xml:space="preserve">点亮未来！ </w:t>
      </w:r>
    </w:p>
    <w:p w14:paraId="7213A12E">
      <w:pPr>
        <w:pStyle w:val="style0"/>
        <w:keepNext w:val="false"/>
        <w:keepLines w:val="false"/>
        <w:pageBreakBefore w:val="false"/>
        <w:kinsoku/>
        <w:wordWrap/>
        <w:overflowPunct/>
        <w:topLinePunct w:val="false"/>
        <w:autoSpaceDE/>
        <w:autoSpaceDN/>
        <w:bidi w:val="false"/>
        <w:adjustRightInd/>
        <w:snapToGrid w:val="false"/>
        <w:spacing w:lineRule="auto" w:line="240"/>
        <w:ind w:firstLine="420" w:firstLineChars="200"/>
        <w:textAlignment w:val="auto"/>
        <w:rPr>
          <w:rFonts w:ascii="微软雅黑" w:eastAsia="微软雅黑" w:hAnsi="微软雅黑" w:hint="eastAsia"/>
          <w:szCs w:val="24"/>
          <w:lang w:val="en-US" w:eastAsia="zh-CN"/>
        </w:rPr>
      </w:pPr>
    </w:p>
    <w:p w14:paraId="1D83E58D">
      <w:pPr>
        <w:pStyle w:val="style0"/>
        <w:keepNext w:val="false"/>
        <w:keepLines w:val="false"/>
        <w:pageBreakBefore w:val="false"/>
        <w:numPr>
          <w:ilvl w:val="0"/>
          <w:numId w:val="1"/>
        </w:numPr>
        <w:kinsoku/>
        <w:wordWrap/>
        <w:overflowPunct/>
        <w:topLinePunct w:val="false"/>
        <w:autoSpaceDE/>
        <w:autoSpaceDN/>
        <w:bidi w:val="false"/>
        <w:adjustRightInd/>
        <w:snapToGrid w:val="false"/>
        <w:spacing w:lineRule="auto" w:line="240"/>
        <w:textAlignment w:val="auto"/>
        <w:rPr>
          <w:rFonts w:ascii="微软雅黑" w:eastAsia="微软雅黑" w:hAnsi="微软雅黑"/>
          <w:b/>
          <w:szCs w:val="24"/>
        </w:rPr>
      </w:pPr>
      <w:r>
        <w:rPr>
          <w:rFonts w:ascii="微软雅黑" w:eastAsia="微软雅黑" w:hAnsi="微软雅黑" w:hint="eastAsia"/>
          <w:b/>
          <w:szCs w:val="24"/>
          <w:lang w:val="en-US" w:eastAsia="zh-CN"/>
        </w:rPr>
        <w:t>招聘信息</w:t>
      </w:r>
      <w:r>
        <w:rPr>
          <w:rFonts w:ascii="微软雅黑" w:eastAsia="微软雅黑" w:hAnsi="微软雅黑"/>
          <w:b/>
          <w:color w:val="ff0000"/>
          <w:szCs w:val="24"/>
        </w:rPr>
        <w:t xml:space="preserve"> </w:t>
      </w:r>
    </w:p>
    <w:p w14:paraId="3832C5C8">
      <w:pPr>
        <w:pStyle w:val="style0"/>
        <w:keepNext w:val="false"/>
        <w:keepLines w:val="false"/>
        <w:pageBreakBefore w:val="false"/>
        <w:numPr>
          <w:ilvl w:val="0"/>
          <w:numId w:val="0"/>
        </w:numPr>
        <w:kinsoku/>
        <w:wordWrap/>
        <w:overflowPunct/>
        <w:topLinePunct w:val="false"/>
        <w:autoSpaceDE/>
        <w:autoSpaceDN/>
        <w:bidi w:val="false"/>
        <w:adjustRightInd/>
        <w:snapToGrid w:val="false"/>
        <w:spacing w:lineRule="auto" w:line="240"/>
        <w:textAlignment w:val="auto"/>
        <w:rPr>
          <w:rFonts w:ascii="微软雅黑" w:eastAsia="微软雅黑" w:hAnsi="微软雅黑" w:hint="default"/>
          <w:b/>
          <w:szCs w:val="24"/>
          <w:lang w:val="en-US" w:eastAsia="zh-CN"/>
        </w:rPr>
      </w:pPr>
      <w:r>
        <w:rPr>
          <w:rFonts w:ascii="微软雅黑" w:eastAsia="微软雅黑" w:hAnsi="微软雅黑" w:hint="eastAsia"/>
          <w:b/>
          <w:color w:val="000000"/>
          <w:szCs w:val="24"/>
          <w:lang w:val="en-US" w:eastAsia="zh-CN"/>
        </w:rPr>
        <w:t>1、招聘对象</w:t>
      </w:r>
      <w:r>
        <w:rPr>
          <w:rFonts w:ascii="微软雅黑" w:eastAsia="微软雅黑" w:hAnsi="微软雅黑" w:hint="eastAsia"/>
          <w:b/>
          <w:color w:val="000000"/>
          <w:szCs w:val="24"/>
          <w:highlight w:val="none"/>
          <w:lang w:eastAsia="zh-CN"/>
        </w:rPr>
        <w:t>：</w:t>
      </w:r>
      <w:r>
        <w:rPr>
          <w:rFonts w:ascii="微软雅黑" w:eastAsia="微软雅黑" w:hAnsi="微软雅黑" w:hint="eastAsia"/>
          <w:b w:val="false"/>
          <w:bCs/>
          <w:color w:val="000000"/>
          <w:szCs w:val="24"/>
          <w:highlight w:val="none"/>
        </w:rPr>
        <w:t>202</w:t>
      </w:r>
      <w:r>
        <w:rPr>
          <w:rFonts w:ascii="微软雅黑" w:eastAsia="微软雅黑" w:hAnsi="微软雅黑" w:hint="eastAsia"/>
          <w:b w:val="false"/>
          <w:bCs/>
          <w:color w:val="000000"/>
          <w:szCs w:val="24"/>
          <w:highlight w:val="none"/>
          <w:lang w:val="en-US" w:eastAsia="zh-CN"/>
        </w:rPr>
        <w:t>6</w:t>
      </w:r>
      <w:r>
        <w:rPr>
          <w:rFonts w:ascii="微软雅黑" w:eastAsia="微软雅黑" w:hAnsi="微软雅黑" w:hint="eastAsia"/>
          <w:b w:val="false"/>
          <w:bCs/>
          <w:color w:val="000000"/>
          <w:szCs w:val="24"/>
          <w:highlight w:val="none"/>
        </w:rPr>
        <w:t>届</w:t>
      </w:r>
      <w:r>
        <w:rPr>
          <w:rFonts w:ascii="微软雅黑" w:eastAsia="微软雅黑" w:hAnsi="微软雅黑" w:hint="eastAsia"/>
          <w:b w:val="false"/>
          <w:bCs/>
          <w:color w:val="000000"/>
          <w:szCs w:val="24"/>
          <w:highlight w:val="none"/>
          <w:lang w:val="en-US" w:eastAsia="zh-CN"/>
        </w:rPr>
        <w:t>海内外高等院校全日制应届毕业生（本科、硕士、博士）</w:t>
      </w:r>
    </w:p>
    <w:p w14:paraId="598B4D72">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eastAsia"/>
          <w:b/>
          <w:szCs w:val="24"/>
          <w:lang w:val="en-US" w:eastAsia="zh-CN"/>
        </w:rPr>
      </w:pPr>
      <w:r>
        <w:rPr>
          <w:rFonts w:ascii="微软雅黑" w:eastAsia="微软雅黑" w:hAnsi="微软雅黑" w:hint="eastAsia"/>
          <w:b/>
          <w:szCs w:val="24"/>
          <w:lang w:val="en-US" w:eastAsia="zh-CN"/>
        </w:rPr>
        <w:t>2、岗位内容及专业要求</w:t>
      </w:r>
    </w:p>
    <w:tbl>
      <w:tblPr>
        <w:tblStyle w:val="style105"/>
        <w:tblW w:w="91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32" w:type="dxa"/>
          <w:left w:w="64" w:type="dxa"/>
          <w:bottom w:w="32" w:type="dxa"/>
          <w:right w:w="64" w:type="dxa"/>
        </w:tblCellMar>
      </w:tblPr>
      <w:tblGrid>
        <w:gridCol w:w="1098"/>
        <w:gridCol w:w="3765"/>
        <w:gridCol w:w="4311"/>
      </w:tblGrid>
      <w:tr w14:paraId="168210BC">
        <w:trPr>
          <w:trHeight w:val="0" w:hRule="auto"/>
          <w:tblHeader/>
          <w:jc w:val="center"/>
        </w:trPr>
        <w:tc>
          <w:tcPr>
            <w:tcW w:w="1098" w:type="dxa"/>
            <w:tcBorders>
              <w:top w:val="single" w:sz="12" w:space="0" w:color="000000"/>
              <w:left w:val="single" w:sz="12" w:space="0" w:color="000000"/>
              <w:bottom w:val="single" w:sz="4" w:space="0" w:color="000000"/>
              <w:right w:val="single" w:sz="4" w:space="0" w:color="000000"/>
              <w:tl2br w:val="nil"/>
            </w:tcBorders>
            <w:shd w:val="clear" w:color="auto" w:fill="ffffff"/>
            <w:noWrap/>
            <w:vAlign w:val="center"/>
          </w:tcPr>
          <w:p w14:paraId="68D6D829">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b/>
                <w:bCs/>
                <w:i w:val="false"/>
                <w:iCs w:val="false"/>
                <w:color w:val="000000"/>
                <w:sz w:val="21"/>
                <w:szCs w:val="21"/>
                <w:u w:val="none"/>
              </w:rPr>
            </w:pPr>
            <w:r>
              <w:rPr>
                <w:rFonts w:ascii="微软雅黑" w:cs="微软雅黑" w:eastAsia="微软雅黑" w:hAnsi="微软雅黑" w:hint="eastAsia"/>
                <w:b/>
                <w:bCs/>
                <w:i w:val="false"/>
                <w:iCs w:val="false"/>
                <w:color w:val="000000"/>
                <w:kern w:val="0"/>
                <w:sz w:val="21"/>
                <w:szCs w:val="21"/>
                <w:u w:val="none"/>
                <w:lang w:val="en-US" w:eastAsia="zh-CN"/>
              </w:rPr>
              <w:t>岗位类别</w:t>
            </w:r>
          </w:p>
        </w:tc>
        <w:tc>
          <w:tcPr>
            <w:tcW w:w="3765" w:type="dxa"/>
            <w:tcBorders>
              <w:top w:val="single" w:sz="12" w:space="0" w:color="000000"/>
              <w:left w:val="single" w:sz="4" w:space="0" w:color="000000"/>
              <w:bottom w:val="single" w:sz="4" w:space="0" w:color="000000"/>
              <w:right w:val="single" w:sz="4" w:space="0" w:color="000000"/>
            </w:tcBorders>
            <w:shd w:val="clear" w:color="auto" w:fill="ffffff"/>
            <w:noWrap/>
            <w:vAlign w:val="center"/>
          </w:tcPr>
          <w:p w14:paraId="2C378B16">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bCs/>
                <w:i w:val="false"/>
                <w:iCs w:val="false"/>
                <w:color w:val="000000"/>
                <w:sz w:val="21"/>
                <w:szCs w:val="21"/>
                <w:u w:val="none"/>
              </w:rPr>
            </w:pPr>
            <w:r>
              <w:rPr>
                <w:rFonts w:ascii="微软雅黑" w:cs="微软雅黑" w:eastAsia="微软雅黑" w:hAnsi="微软雅黑" w:hint="eastAsia"/>
                <w:b/>
                <w:bCs/>
                <w:i w:val="false"/>
                <w:iCs w:val="false"/>
                <w:color w:val="000000"/>
                <w:kern w:val="0"/>
                <w:sz w:val="21"/>
                <w:szCs w:val="21"/>
                <w:u w:val="none"/>
                <w:lang w:val="en-US" w:eastAsia="zh-CN"/>
              </w:rPr>
              <w:t>岗位名称</w:t>
            </w:r>
          </w:p>
        </w:tc>
        <w:tc>
          <w:tcPr>
            <w:tcW w:w="4311" w:type="dxa"/>
            <w:tcBorders>
              <w:top w:val="single" w:sz="12" w:space="0" w:color="000000"/>
              <w:left w:val="single" w:sz="4" w:space="0" w:color="000000"/>
              <w:bottom w:val="single" w:sz="4" w:space="0" w:color="000000"/>
              <w:right w:val="single" w:sz="12" w:space="0" w:color="000000"/>
            </w:tcBorders>
            <w:shd w:val="clear" w:color="auto" w:fill="ffffff"/>
            <w:noWrap/>
            <w:vAlign w:val="center"/>
          </w:tcPr>
          <w:p w14:paraId="3C04BB74">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bCs/>
                <w:i w:val="false"/>
                <w:iCs w:val="false"/>
                <w:color w:val="000000"/>
                <w:sz w:val="21"/>
                <w:szCs w:val="21"/>
                <w:u w:val="none"/>
              </w:rPr>
            </w:pPr>
            <w:r>
              <w:rPr>
                <w:rFonts w:ascii="微软雅黑" w:cs="微软雅黑" w:eastAsia="微软雅黑" w:hAnsi="微软雅黑" w:hint="eastAsia"/>
                <w:b/>
                <w:bCs/>
                <w:i w:val="false"/>
                <w:iCs w:val="false"/>
                <w:color w:val="000000"/>
                <w:kern w:val="0"/>
                <w:sz w:val="21"/>
                <w:szCs w:val="21"/>
                <w:u w:val="none"/>
                <w:lang w:val="en-US" w:eastAsia="zh-CN"/>
              </w:rPr>
              <w:t>专业要求</w:t>
            </w:r>
          </w:p>
        </w:tc>
      </w:tr>
      <w:tr w14:paraId="3C24BB9D">
        <w:tblPrEx/>
        <w:trPr>
          <w:trHeight w:val="0" w:hRule="auto"/>
          <w:jc w:val="center"/>
        </w:trPr>
        <w:tc>
          <w:tcPr>
            <w:tcW w:w="1098" w:type="dxa"/>
            <w:vMerge w:val="restart"/>
            <w:tcBorders>
              <w:top w:val="single" w:sz="4" w:space="0" w:color="000000"/>
              <w:left w:val="single" w:sz="12" w:space="0" w:color="000000"/>
              <w:bottom w:val="single" w:sz="4" w:space="0" w:color="000000"/>
              <w:right w:val="single" w:sz="4" w:space="0" w:color="000000"/>
            </w:tcBorders>
            <w:shd w:val="clear" w:color="auto" w:fill="ffffff"/>
            <w:vAlign w:val="center"/>
          </w:tcPr>
          <w:p w14:paraId="2782487E">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运营</w:t>
            </w: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3EDC0E">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TE工程师</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11E77AB4">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电子信息相关专业</w:t>
            </w:r>
          </w:p>
        </w:tc>
      </w:tr>
      <w:tr w14:paraId="7B097046">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vAlign w:val="center"/>
          </w:tcPr>
          <w:p w14:paraId="1E6BDDBC">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E22DCA2">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IE工程师</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1FD35403">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工业工程</w:t>
            </w:r>
          </w:p>
        </w:tc>
      </w:tr>
      <w:tr w14:paraId="7520812C">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vAlign w:val="center"/>
          </w:tcPr>
          <w:p w14:paraId="5BCA8F50">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1FCFE79">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设备工程师</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425A201F">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机械、材料、工业工程</w:t>
            </w:r>
          </w:p>
        </w:tc>
      </w:tr>
      <w:tr w14:paraId="7B9B609A">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vAlign w:val="center"/>
          </w:tcPr>
          <w:p w14:paraId="6D1220EC">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9D3F44B">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生产课长</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4605555E">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工业工程</w:t>
            </w:r>
          </w:p>
        </w:tc>
      </w:tr>
      <w:tr w14:paraId="28B34408">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vAlign w:val="center"/>
          </w:tcPr>
          <w:p w14:paraId="20D45407">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04851C0">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工艺工程师</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7866FD4C">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机械、材料、工业工程等相关专业</w:t>
            </w:r>
          </w:p>
        </w:tc>
      </w:tr>
      <w:tr w14:paraId="0B1E5897">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vAlign w:val="center"/>
          </w:tcPr>
          <w:p w14:paraId="6D8A19FB">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EE32AF4">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实验室测试工程师</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4F89800C">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电子信息相关专业</w:t>
            </w:r>
          </w:p>
        </w:tc>
      </w:tr>
      <w:tr w14:paraId="5DE15988">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vAlign w:val="center"/>
          </w:tcPr>
          <w:p w14:paraId="7853D840">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5CCD01B">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PM工程师</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6832599C">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电力电子、机械自动化、电化学专业</w:t>
            </w:r>
          </w:p>
        </w:tc>
      </w:tr>
      <w:tr w14:paraId="0A519723">
        <w:tblPrEx/>
        <w:trPr>
          <w:trHeight w:val="0" w:hRule="auto"/>
          <w:jc w:val="center"/>
        </w:trPr>
        <w:tc>
          <w:tcPr>
            <w:tcW w:w="1098" w:type="dxa"/>
            <w:vMerge w:val="restart"/>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54B1C678">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品质</w:t>
            </w: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C3421A7">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品质工程师</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39ED1D7C">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kern w:val="0"/>
                <w:sz w:val="21"/>
                <w:szCs w:val="21"/>
                <w:u w:val="none"/>
                <w:lang w:val="en-US" w:eastAsia="zh-CN"/>
              </w:rPr>
            </w:pPr>
            <w:r>
              <w:rPr>
                <w:rFonts w:ascii="微软雅黑" w:cs="微软雅黑" w:eastAsia="微软雅黑" w:hAnsi="微软雅黑" w:hint="eastAsia"/>
                <w:b w:val="false"/>
                <w:i w:val="false"/>
                <w:iCs w:val="false"/>
                <w:color w:val="000000"/>
                <w:kern w:val="0"/>
                <w:sz w:val="21"/>
                <w:szCs w:val="21"/>
                <w:u w:val="none"/>
                <w:lang w:val="en-US" w:eastAsia="zh-CN"/>
              </w:rPr>
              <w:t>数学统计类、物理、材料学，机械，</w:t>
            </w:r>
          </w:p>
          <w:p w14:paraId="73D2E4D4">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电子相关专业</w:t>
            </w:r>
          </w:p>
        </w:tc>
      </w:tr>
      <w:tr w14:paraId="5377AD3D">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09966A29">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494895">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SQE工程师</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3D6C1D24">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机械、材料、工业工程相关专业</w:t>
            </w:r>
          </w:p>
        </w:tc>
      </w:tr>
      <w:tr w14:paraId="6C1CD32A">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6BC494D5">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24C4572">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体系工程师</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21A735BE">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环境、能源相关专业</w:t>
            </w:r>
          </w:p>
        </w:tc>
      </w:tr>
      <w:tr w14:paraId="132412CE">
        <w:tblPrEx/>
        <w:trPr>
          <w:trHeight w:val="0" w:hRule="auto"/>
          <w:jc w:val="center"/>
        </w:trPr>
        <w:tc>
          <w:tcPr>
            <w:tcW w:w="1098" w:type="dxa"/>
            <w:vMerge w:val="restart"/>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30F86ED2">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Style w:val="style4102"/>
                <w:rFonts w:ascii="微软雅黑" w:eastAsia="微软雅黑"/>
                <w:b w:val="false"/>
                <w:color w:val="000000"/>
                <w:sz w:val="21"/>
                <w:lang w:val="en-US" w:eastAsia="zh-CN"/>
              </w:rPr>
              <w:t>技术</w:t>
            </w: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C27DD08">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运维工程师、数据分析工程师</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668111A7">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信息系统、软件工程、网络、算法</w:t>
            </w:r>
          </w:p>
        </w:tc>
      </w:tr>
      <w:tr w14:paraId="1857A10C">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5804C259">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83E432">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产品经理</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65B7400D">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电力电子、机械自动化、电化学专业</w:t>
            </w:r>
          </w:p>
        </w:tc>
      </w:tr>
      <w:tr w14:paraId="4C6929CC">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79D24E34">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B0F6309">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TPM工程师</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6165612B">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电子信息工程，自动化</w:t>
            </w:r>
          </w:p>
        </w:tc>
      </w:tr>
      <w:tr w14:paraId="09E0195B">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064F0BAD">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0036E89">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PD工程师</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5C8A6EA7">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机械、结构、工程、自动化、车辆工程等</w:t>
            </w:r>
          </w:p>
        </w:tc>
      </w:tr>
      <w:tr w14:paraId="3B098DF0">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09CC3B4B">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F475505">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EPM工程师</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6C829018">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英语、管理类专业</w:t>
            </w:r>
          </w:p>
        </w:tc>
      </w:tr>
      <w:tr w14:paraId="170656E3">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7EBD72E9">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F133ACF">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机械工程师</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6A0E1027">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机械、自动化</w:t>
            </w:r>
          </w:p>
        </w:tc>
      </w:tr>
      <w:tr w14:paraId="7AEE8E3C">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4F7B0F31">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7C2950">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测试工程师</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0AE8FE4F">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电子信息工程，信息科学与技术，软件工程</w:t>
            </w:r>
          </w:p>
        </w:tc>
      </w:tr>
      <w:tr w14:paraId="1BDB37D4">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036775A4">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54655E2">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视觉工程师</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44210780">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人工智能、电子信息、数字图像、计算机、工业自动化、机电一体化</w:t>
            </w:r>
          </w:p>
        </w:tc>
      </w:tr>
      <w:tr w14:paraId="5C3A5108">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2B06B7B3">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377191">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网页开发人员前、后端工程师、</w:t>
            </w:r>
          </w:p>
        </w:tc>
        <w:tc>
          <w:tcPr>
            <w:tcW w:w="4311" w:type="dxa"/>
            <w:vMerge w:val="restart"/>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18F9FBA9">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软件工程、计算机、数学、自动化</w:t>
            </w:r>
          </w:p>
        </w:tc>
      </w:tr>
      <w:tr w14:paraId="60B2D2C4">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187BB9BD">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4829A1">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算法工程师、Linux嵌入式工程师、</w:t>
            </w:r>
          </w:p>
        </w:tc>
        <w:tc>
          <w:tcPr>
            <w:tcW w:w="4311" w:type="dxa"/>
            <w:vMerge w:val="continue"/>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11A2DE3A">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r>
      <w:tr w14:paraId="314A04FD">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4FC00F52">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58BE36">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APP开发工程师</w:t>
            </w:r>
          </w:p>
        </w:tc>
        <w:tc>
          <w:tcPr>
            <w:tcW w:w="4311" w:type="dxa"/>
            <w:vMerge w:val="continue"/>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03F0062D">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r>
      <w:tr w14:paraId="46101C83">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402A895F">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C4A554">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设备硬件工程师</w:t>
            </w:r>
          </w:p>
        </w:tc>
        <w:tc>
          <w:tcPr>
            <w:tcW w:w="4311" w:type="dxa"/>
            <w:vMerge w:val="restart"/>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18C27897">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电子信息工程，信息科学与技术，软件工程</w:t>
            </w:r>
          </w:p>
        </w:tc>
      </w:tr>
      <w:tr w14:paraId="194C85CC">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1E13AB7D">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2E1457">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BMS硬件工程师</w:t>
            </w:r>
          </w:p>
        </w:tc>
        <w:tc>
          <w:tcPr>
            <w:tcW w:w="4311" w:type="dxa"/>
            <w:vMerge w:val="continue"/>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59A67F0E">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r>
      <w:tr w14:paraId="040B8BAC">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2D35896B">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44CDC3">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BMS软件工程师</w:t>
            </w:r>
          </w:p>
        </w:tc>
        <w:tc>
          <w:tcPr>
            <w:tcW w:w="4311" w:type="dxa"/>
            <w:vMerge w:val="continue"/>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51DE5051">
            <w:pPr>
              <w:pStyle w:val="style0"/>
              <w:snapToGrid w:val="false"/>
              <w:spacing w:lineRule="auto" w:line="240"/>
              <w:jc w:val="center"/>
              <w:rPr>
                <w:rFonts w:ascii="微软雅黑" w:cs="微软雅黑" w:eastAsia="微软雅黑" w:hAnsi="微软雅黑" w:hint="eastAsia"/>
                <w:b w:val="false"/>
                <w:i w:val="false"/>
                <w:iCs w:val="false"/>
                <w:color w:val="000000"/>
                <w:sz w:val="21"/>
                <w:szCs w:val="21"/>
                <w:u w:val="none"/>
              </w:rPr>
            </w:pPr>
          </w:p>
        </w:tc>
      </w:tr>
      <w:tr w14:paraId="77D599D9">
        <w:tblPrEx/>
        <w:trPr>
          <w:trHeight w:val="0" w:hRule="auto"/>
          <w:jc w:val="center"/>
        </w:trPr>
        <w:tc>
          <w:tcPr>
            <w:tcW w:w="1098" w:type="dxa"/>
            <w:vMerge w:val="restart"/>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2BDB5AF5">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研发</w:t>
            </w: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6F379AA">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电化学工程师</w:t>
            </w:r>
          </w:p>
        </w:tc>
        <w:tc>
          <w:tcPr>
            <w:tcW w:w="4311" w:type="dxa"/>
            <w:vMerge w:val="restart"/>
            <w:tcBorders>
              <w:top w:val="single" w:sz="4" w:space="0" w:color="000000"/>
              <w:left w:val="single" w:sz="4" w:space="0" w:color="000000"/>
              <w:bottom w:val="single" w:sz="4" w:space="0" w:color="000000"/>
              <w:right w:val="single" w:sz="12" w:space="0" w:color="000000"/>
            </w:tcBorders>
            <w:shd w:val="clear" w:color="auto" w:fill="ffffff"/>
            <w:vAlign w:val="center"/>
          </w:tcPr>
          <w:p w14:paraId="446F7158">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kern w:val="0"/>
                <w:sz w:val="21"/>
                <w:szCs w:val="21"/>
                <w:u w:val="none"/>
                <w:lang w:val="en-US" w:eastAsia="zh-CN"/>
              </w:rPr>
            </w:pPr>
            <w:r>
              <w:rPr>
                <w:rFonts w:ascii="微软雅黑" w:cs="微软雅黑" w:eastAsia="微软雅黑" w:hAnsi="微软雅黑" w:hint="eastAsia"/>
                <w:b w:val="false"/>
                <w:i w:val="false"/>
                <w:iCs w:val="false"/>
                <w:color w:val="000000"/>
                <w:kern w:val="0"/>
                <w:sz w:val="21"/>
                <w:szCs w:val="21"/>
                <w:u w:val="none"/>
                <w:lang w:val="en-US" w:eastAsia="zh-CN"/>
              </w:rPr>
              <w:t>电化学、材料学、物理学、冶金</w:t>
            </w:r>
          </w:p>
          <w:p w14:paraId="3DAFF3B7">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bCs/>
                <w:i w:val="false"/>
                <w:iCs w:val="false"/>
                <w:color w:val="000000"/>
                <w:kern w:val="0"/>
                <w:sz w:val="21"/>
                <w:szCs w:val="21"/>
                <w:u w:val="none"/>
                <w:lang w:val="en-US" w:eastAsia="zh-CN"/>
              </w:rPr>
              <w:t>学历要求：硕士及以上</w:t>
            </w:r>
          </w:p>
        </w:tc>
      </w:tr>
      <w:tr w14:paraId="302BEBF6">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6749A42F">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962A6EA">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仿真工程师</w:t>
            </w:r>
          </w:p>
        </w:tc>
        <w:tc>
          <w:tcPr>
            <w:tcW w:w="4311" w:type="dxa"/>
            <w:vMerge w:val="continue"/>
            <w:tcBorders>
              <w:top w:val="single" w:sz="4" w:space="0" w:color="000000"/>
              <w:left w:val="single" w:sz="4" w:space="0" w:color="000000"/>
              <w:bottom w:val="single" w:sz="4" w:space="0" w:color="000000"/>
              <w:right w:val="single" w:sz="12" w:space="0" w:color="000000"/>
            </w:tcBorders>
            <w:shd w:val="clear" w:color="auto" w:fill="ffffff"/>
            <w:vAlign w:val="center"/>
          </w:tcPr>
          <w:p w14:paraId="1809F651">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p>
        </w:tc>
      </w:tr>
      <w:tr w14:paraId="7BA170F4">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64D32495">
            <w:pPr>
              <w:pStyle w:val="style0"/>
              <w:snapToGrid w:val="false"/>
              <w:spacing w:lineRule="auto" w:line="240"/>
              <w:jc w:val="center"/>
              <w:rPr>
                <w:rFonts w:ascii="微软雅黑" w:cs="宋体" w:eastAsia="微软雅黑" w:hAnsi="宋体" w:hint="eastAsia"/>
                <w:b w:val="false"/>
                <w:i w:val="false"/>
                <w:iCs w:val="false"/>
                <w:color w:val="000000"/>
                <w:sz w:val="21"/>
                <w:szCs w:val="22"/>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D42F5ED">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电芯研发工程师</w:t>
            </w:r>
          </w:p>
        </w:tc>
        <w:tc>
          <w:tcPr>
            <w:tcW w:w="4311" w:type="dxa"/>
            <w:vMerge w:val="continue"/>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65A0DB01">
            <w:pPr>
              <w:pStyle w:val="style0"/>
              <w:snapToGrid w:val="false"/>
              <w:spacing w:lineRule="auto" w:line="240"/>
              <w:jc w:val="center"/>
              <w:rPr>
                <w:rFonts w:ascii="微软雅黑" w:cs="宋体" w:eastAsia="微软雅黑" w:hAnsi="宋体" w:hint="eastAsia"/>
                <w:b w:val="false"/>
                <w:i w:val="false"/>
                <w:iCs w:val="false"/>
                <w:color w:val="000000"/>
                <w:sz w:val="21"/>
                <w:szCs w:val="22"/>
                <w:u w:val="none"/>
              </w:rPr>
            </w:pPr>
          </w:p>
        </w:tc>
      </w:tr>
      <w:tr w14:paraId="40321107">
        <w:tblPrEx/>
        <w:trPr>
          <w:trHeight w:val="0" w:hRule="auto"/>
          <w:jc w:val="center"/>
        </w:trPr>
        <w:tc>
          <w:tcPr>
            <w:tcW w:w="1098" w:type="dxa"/>
            <w:vMerge w:val="continue"/>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4863FB0D">
            <w:pPr>
              <w:pStyle w:val="style0"/>
              <w:snapToGrid w:val="false"/>
              <w:spacing w:lineRule="auto" w:line="240"/>
              <w:jc w:val="center"/>
              <w:rPr>
                <w:rFonts w:ascii="微软雅黑" w:cs="宋体" w:eastAsia="微软雅黑" w:hAnsi="宋体" w:hint="eastAsia"/>
                <w:b w:val="false"/>
                <w:i w:val="false"/>
                <w:iCs w:val="false"/>
                <w:color w:val="000000"/>
                <w:sz w:val="21"/>
                <w:szCs w:val="22"/>
                <w:u w:val="none"/>
              </w:rPr>
            </w:pP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A74CAE3">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材料研发工程师</w:t>
            </w:r>
          </w:p>
        </w:tc>
        <w:tc>
          <w:tcPr>
            <w:tcW w:w="4311" w:type="dxa"/>
            <w:vMerge w:val="continue"/>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74CD8FD8">
            <w:pPr>
              <w:pStyle w:val="style0"/>
              <w:snapToGrid w:val="false"/>
              <w:spacing w:lineRule="auto" w:line="240"/>
              <w:jc w:val="center"/>
              <w:rPr>
                <w:rFonts w:ascii="微软雅黑" w:cs="宋体" w:eastAsia="微软雅黑" w:hAnsi="宋体" w:hint="eastAsia"/>
                <w:b w:val="false"/>
                <w:i w:val="false"/>
                <w:iCs w:val="false"/>
                <w:color w:val="000000"/>
                <w:sz w:val="21"/>
                <w:szCs w:val="22"/>
                <w:u w:val="none"/>
              </w:rPr>
            </w:pPr>
          </w:p>
        </w:tc>
      </w:tr>
      <w:tr w14:paraId="555C65C9">
        <w:tblPrEx/>
        <w:trPr>
          <w:trHeight w:val="0" w:hRule="auto"/>
          <w:jc w:val="center"/>
        </w:trPr>
        <w:tc>
          <w:tcPr>
            <w:tcW w:w="1098" w:type="dxa"/>
            <w:tcBorders>
              <w:top w:val="single" w:sz="4" w:space="0" w:color="000000"/>
              <w:left w:val="single" w:sz="12" w:space="0" w:color="000000"/>
              <w:bottom w:val="single" w:sz="4" w:space="0" w:color="000000"/>
              <w:right w:val="single" w:sz="4" w:space="0" w:color="000000"/>
            </w:tcBorders>
            <w:shd w:val="clear" w:color="auto" w:fill="ffffff"/>
            <w:noWrap/>
            <w:vAlign w:val="center"/>
          </w:tcPr>
          <w:p w14:paraId="26A91A37">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销售</w:t>
            </w:r>
          </w:p>
        </w:tc>
        <w:tc>
          <w:tcPr>
            <w:tcW w:w="3765"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A786D91">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客户代表</w:t>
            </w:r>
          </w:p>
        </w:tc>
        <w:tc>
          <w:tcPr>
            <w:tcW w:w="4311" w:type="dxa"/>
            <w:tcBorders>
              <w:top w:val="single" w:sz="4" w:space="0" w:color="000000"/>
              <w:left w:val="single" w:sz="4" w:space="0" w:color="000000"/>
              <w:bottom w:val="single" w:sz="4" w:space="0" w:color="000000"/>
              <w:right w:val="single" w:sz="12" w:space="0" w:color="000000"/>
            </w:tcBorders>
            <w:shd w:val="clear" w:color="auto" w:fill="ffffff"/>
            <w:noWrap/>
            <w:vAlign w:val="center"/>
          </w:tcPr>
          <w:p w14:paraId="1FBA65B7">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商务英语、国际贸易、物流管理、经济学</w:t>
            </w:r>
          </w:p>
        </w:tc>
      </w:tr>
      <w:tr w14:paraId="5DB2B042">
        <w:tblPrEx/>
        <w:trPr>
          <w:trHeight w:val="0" w:hRule="auto"/>
          <w:jc w:val="center"/>
        </w:trPr>
        <w:tc>
          <w:tcPr>
            <w:tcW w:w="1098" w:type="dxa"/>
            <w:tcBorders>
              <w:top w:val="single" w:sz="4" w:space="0" w:color="000000"/>
              <w:left w:val="single" w:sz="12" w:space="0" w:color="000000"/>
              <w:bottom w:val="single" w:sz="12" w:space="0" w:color="000000"/>
              <w:right w:val="single" w:sz="4" w:space="0" w:color="000000"/>
            </w:tcBorders>
            <w:shd w:val="clear" w:color="auto" w:fill="ffffff"/>
            <w:noWrap/>
            <w:vAlign w:val="center"/>
          </w:tcPr>
          <w:p w14:paraId="41EA564C">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职能</w:t>
            </w:r>
          </w:p>
        </w:tc>
        <w:tc>
          <w:tcPr>
            <w:tcW w:w="3765" w:type="dxa"/>
            <w:tcBorders>
              <w:top w:val="single" w:sz="4" w:space="0" w:color="000000"/>
              <w:left w:val="single" w:sz="4" w:space="0" w:color="000000"/>
              <w:bottom w:val="single" w:sz="12" w:space="0" w:color="000000"/>
              <w:right w:val="single" w:sz="4" w:space="0" w:color="000000"/>
            </w:tcBorders>
            <w:shd w:val="clear" w:color="auto" w:fill="ffffff"/>
            <w:noWrap/>
            <w:vAlign w:val="center"/>
          </w:tcPr>
          <w:p w14:paraId="1AA08B13">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仓储工程师、采购工程师、关务专员、财务专员、人力资源专员</w:t>
            </w:r>
          </w:p>
        </w:tc>
        <w:tc>
          <w:tcPr>
            <w:tcW w:w="4311" w:type="dxa"/>
            <w:tcBorders>
              <w:top w:val="single" w:sz="4" w:space="0" w:color="000000"/>
              <w:left w:val="single" w:sz="4" w:space="0" w:color="000000"/>
              <w:bottom w:val="single" w:sz="12" w:space="0" w:color="000000"/>
              <w:right w:val="single" w:sz="12" w:space="0" w:color="000000"/>
            </w:tcBorders>
            <w:shd w:val="clear" w:color="auto" w:fill="ffffff"/>
            <w:noWrap/>
            <w:vAlign w:val="center"/>
          </w:tcPr>
          <w:p w14:paraId="3EBC7898">
            <w:pPr>
              <w:pStyle w:val="style0"/>
              <w:keepNext w:val="false"/>
              <w:keepLines w:val="false"/>
              <w:widowControl/>
              <w:suppressLineNumbers w:val="false"/>
              <w:snapToGrid w:val="false"/>
              <w:spacing w:lineRule="auto" w:line="240"/>
              <w:jc w:val="center"/>
              <w:textAlignment w:val="center"/>
              <w:rPr>
                <w:rFonts w:ascii="微软雅黑" w:cs="微软雅黑" w:eastAsia="微软雅黑" w:hAnsi="微软雅黑" w:hint="eastAsia"/>
                <w:b w:val="false"/>
                <w:i w:val="false"/>
                <w:iCs w:val="false"/>
                <w:color w:val="000000"/>
                <w:sz w:val="21"/>
                <w:szCs w:val="21"/>
                <w:u w:val="none"/>
              </w:rPr>
            </w:pPr>
            <w:r>
              <w:rPr>
                <w:rFonts w:ascii="微软雅黑" w:cs="微软雅黑" w:eastAsia="微软雅黑" w:hAnsi="微软雅黑" w:hint="eastAsia"/>
                <w:b w:val="false"/>
                <w:i w:val="false"/>
                <w:iCs w:val="false"/>
                <w:color w:val="000000"/>
                <w:kern w:val="0"/>
                <w:sz w:val="21"/>
                <w:szCs w:val="21"/>
                <w:u w:val="none"/>
                <w:lang w:val="en-US" w:eastAsia="zh-CN"/>
              </w:rPr>
              <w:t>国际贸易、物流管理、市场营销、工商管理、供应链、财务、人力资源相关专业</w:t>
            </w:r>
          </w:p>
        </w:tc>
      </w:tr>
    </w:tbl>
    <w:p w14:paraId="2CC21213">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b/>
          <w:szCs w:val="24"/>
        </w:rPr>
      </w:pPr>
    </w:p>
    <w:p w14:paraId="0F3EE734">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b/>
          <w:szCs w:val="24"/>
        </w:rPr>
      </w:pPr>
      <w:r>
        <w:rPr>
          <w:rFonts w:ascii="微软雅黑" w:eastAsia="微软雅黑" w:hAnsi="微软雅黑" w:hint="eastAsia"/>
          <w:b/>
          <w:szCs w:val="24"/>
        </w:rPr>
        <w:t>三</w:t>
      </w:r>
      <w:r>
        <w:rPr>
          <w:rFonts w:ascii="微软雅黑" w:eastAsia="微软雅黑" w:hAnsi="微软雅黑"/>
          <w:b/>
          <w:szCs w:val="24"/>
        </w:rPr>
        <w:t>、</w:t>
      </w:r>
      <w:r>
        <w:rPr>
          <w:rFonts w:ascii="微软雅黑" w:eastAsia="微软雅黑" w:hAnsi="微软雅黑" w:hint="eastAsia"/>
          <w:b/>
          <w:szCs w:val="24"/>
        </w:rPr>
        <w:t>福利待遇</w:t>
      </w:r>
    </w:p>
    <w:p w14:paraId="24427038">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eastAsia"/>
          <w:szCs w:val="24"/>
          <w:lang w:val="en-US" w:eastAsia="zh-CN"/>
        </w:rPr>
      </w:pPr>
      <w:r>
        <w:rPr>
          <w:rFonts w:ascii="微软雅黑" w:eastAsia="微软雅黑" w:hAnsi="微软雅黑" w:hint="eastAsia"/>
          <w:szCs w:val="24"/>
          <w:lang w:val="en-US" w:eastAsia="zh-CN"/>
        </w:rPr>
        <w:t>全面保障：</w:t>
      </w:r>
      <w:r>
        <w:rPr>
          <w:rFonts w:ascii="微软雅黑" w:eastAsia="微软雅黑" w:hAnsi="微软雅黑" w:hint="eastAsia"/>
          <w:szCs w:val="24"/>
        </w:rPr>
        <w:t>五险一金 带薪年假 免费</w:t>
      </w:r>
      <w:r>
        <w:rPr>
          <w:rFonts w:ascii="微软雅黑" w:eastAsia="微软雅黑" w:hAnsi="微软雅黑" w:hint="eastAsia"/>
          <w:szCs w:val="24"/>
          <w:lang w:val="en-US" w:eastAsia="zh-CN"/>
        </w:rPr>
        <w:t>食宿</w:t>
      </w:r>
    </w:p>
    <w:p w14:paraId="29FB3967">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eastAsia"/>
          <w:szCs w:val="24"/>
        </w:rPr>
      </w:pPr>
      <w:r>
        <w:rPr>
          <w:rFonts w:ascii="微软雅黑" w:eastAsia="微软雅黑" w:hAnsi="微软雅黑" w:hint="eastAsia"/>
          <w:szCs w:val="24"/>
          <w:lang w:val="en-US" w:eastAsia="zh-CN"/>
        </w:rPr>
        <w:t>暖心关怀：</w:t>
      </w:r>
      <w:r>
        <w:rPr>
          <w:rFonts w:ascii="微软雅黑" w:eastAsia="微软雅黑" w:hAnsi="微软雅黑" w:hint="eastAsia"/>
          <w:szCs w:val="24"/>
        </w:rPr>
        <w:t xml:space="preserve">生日礼物 员工体检 节日礼品 </w:t>
      </w:r>
    </w:p>
    <w:p w14:paraId="72BB0F46">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szCs w:val="24"/>
        </w:rPr>
      </w:pPr>
      <w:r>
        <w:rPr>
          <w:rFonts w:ascii="微软雅黑" w:eastAsia="微软雅黑" w:hAnsi="微软雅黑" w:hint="eastAsia"/>
          <w:szCs w:val="24"/>
          <w:lang w:val="en-US" w:eastAsia="zh-CN"/>
        </w:rPr>
        <w:t>快乐工作：</w:t>
      </w:r>
      <w:r>
        <w:rPr>
          <w:rFonts w:ascii="微软雅黑" w:eastAsia="微软雅黑" w:hAnsi="微软雅黑" w:hint="eastAsia"/>
          <w:szCs w:val="24"/>
        </w:rPr>
        <w:t xml:space="preserve">社团活动 </w:t>
      </w:r>
      <w:r>
        <w:rPr>
          <w:rFonts w:ascii="微软雅黑" w:eastAsia="微软雅黑" w:hAnsi="微软雅黑" w:hint="eastAsia"/>
          <w:szCs w:val="24"/>
          <w:lang w:val="en-US" w:eastAsia="zh-CN"/>
        </w:rPr>
        <w:t xml:space="preserve">团建经费 </w:t>
      </w:r>
      <w:r>
        <w:rPr>
          <w:rFonts w:ascii="微软雅黑" w:eastAsia="微软雅黑" w:hAnsi="微软雅黑" w:hint="eastAsia"/>
          <w:szCs w:val="24"/>
        </w:rPr>
        <w:t>团建旅游</w:t>
      </w:r>
    </w:p>
    <w:p w14:paraId="6270E4C3">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szCs w:val="24"/>
        </w:rPr>
      </w:pPr>
      <w:r>
        <w:rPr>
          <w:rFonts w:ascii="微软雅黑" w:eastAsia="微软雅黑" w:hAnsi="微软雅黑" w:hint="eastAsia"/>
          <w:szCs w:val="24"/>
          <w:lang w:val="en-US" w:eastAsia="zh-CN"/>
        </w:rPr>
        <w:t>健康生活：</w:t>
      </w:r>
      <w:r>
        <w:rPr>
          <w:rFonts w:ascii="微软雅黑" w:eastAsia="微软雅黑" w:hAnsi="微软雅黑" w:hint="eastAsia"/>
          <w:szCs w:val="24"/>
        </w:rPr>
        <w:t xml:space="preserve">健身房 图书馆 电影院 舞蹈室 </w:t>
      </w:r>
    </w:p>
    <w:p w14:paraId="36CDF880">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default"/>
          <w:szCs w:val="24"/>
          <w:lang w:val="en-US" w:eastAsia="zh-CN"/>
        </w:rPr>
      </w:pPr>
      <w:r>
        <w:rPr>
          <w:rFonts w:ascii="微软雅黑" w:eastAsia="微软雅黑" w:hAnsi="微软雅黑" w:hint="eastAsia"/>
          <w:szCs w:val="24"/>
          <w:lang w:val="en-US" w:eastAsia="zh-CN"/>
        </w:rPr>
        <w:t>成长赋能：</w:t>
      </w:r>
      <w:r>
        <w:rPr>
          <w:rFonts w:ascii="微软雅黑" w:eastAsia="微软雅黑" w:hAnsi="微软雅黑" w:hint="eastAsia"/>
          <w:szCs w:val="24"/>
        </w:rPr>
        <w:t>专业培训</w:t>
      </w:r>
      <w:r>
        <w:rPr>
          <w:rFonts w:ascii="微软雅黑" w:eastAsia="微软雅黑" w:hAnsi="微软雅黑" w:hint="eastAsia"/>
          <w:szCs w:val="24"/>
          <w:lang w:val="en-US" w:eastAsia="zh-CN"/>
        </w:rPr>
        <w:t xml:space="preserve"> 导师带教</w:t>
      </w:r>
    </w:p>
    <w:p w14:paraId="72E4F8EC">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default"/>
          <w:szCs w:val="24"/>
          <w:lang w:val="en-US" w:eastAsia="zh-CN"/>
        </w:rPr>
      </w:pPr>
      <w:r>
        <w:rPr>
          <w:rFonts w:ascii="微软雅黑" w:eastAsia="微软雅黑" w:hAnsi="微软雅黑" w:hint="eastAsia"/>
          <w:szCs w:val="24"/>
          <w:lang w:val="en-US" w:eastAsia="zh-CN"/>
        </w:rPr>
        <w:t>薪资信息：13薪＋年终奖金</w:t>
      </w:r>
    </w:p>
    <w:p w14:paraId="173A071D">
      <w:pPr>
        <w:pStyle w:val="style0"/>
        <w:keepNext w:val="false"/>
        <w:keepLines w:val="false"/>
        <w:pageBreakBefore w:val="false"/>
        <w:numPr>
          <w:ilvl w:val="0"/>
          <w:numId w:val="0"/>
        </w:numPr>
        <w:kinsoku/>
        <w:wordWrap/>
        <w:overflowPunct/>
        <w:topLinePunct w:val="false"/>
        <w:autoSpaceDE/>
        <w:autoSpaceDN/>
        <w:bidi w:val="false"/>
        <w:adjustRightInd/>
        <w:snapToGrid w:val="false"/>
        <w:spacing w:lineRule="auto" w:line="240"/>
        <w:ind w:leftChars="0"/>
        <w:textAlignment w:val="auto"/>
        <w:rPr>
          <w:rFonts w:ascii="微软雅黑" w:eastAsia="微软雅黑" w:hAnsi="微软雅黑" w:hint="eastAsia"/>
          <w:b/>
          <w:szCs w:val="24"/>
        </w:rPr>
      </w:pPr>
      <w:r>
        <w:rPr>
          <w:rFonts w:ascii="微软雅黑" w:eastAsia="微软雅黑" w:hAnsi="微软雅黑" w:hint="eastAsia"/>
          <w:b/>
          <w:szCs w:val="24"/>
          <w:lang w:val="en-US" w:eastAsia="zh-CN"/>
        </w:rPr>
        <w:t>四、人才培养及发展路径</w:t>
      </w:r>
      <w:r>
        <w:rPr>
          <w:rFonts w:ascii="微软雅黑" w:eastAsia="微软雅黑" w:hAnsi="微软雅黑" w:hint="eastAsia"/>
          <w:b/>
          <w:szCs w:val="24"/>
          <w:lang w:val="en-US" w:eastAsia="zh-CN"/>
        </w:rPr>
        <w:br/>
      </w:r>
      <w:r>
        <w:rPr>
          <w:rFonts w:ascii="微软雅黑" w:eastAsia="微软雅黑" w:hAnsi="微软雅黑" w:hint="eastAsia"/>
          <w:b/>
          <w:szCs w:val="24"/>
          <w:lang w:val="en-US" w:eastAsia="zh-CN"/>
        </w:rPr>
        <w:t>1、</w:t>
      </w:r>
      <w:r>
        <w:rPr>
          <w:rFonts w:ascii="微软雅黑" w:eastAsia="微软雅黑" w:hAnsi="微软雅黑" w:hint="eastAsia"/>
          <w:b/>
          <w:szCs w:val="24"/>
        </w:rPr>
        <w:t>校招大学生</w:t>
      </w:r>
      <w:r>
        <w:rPr>
          <w:rFonts w:ascii="微软雅黑" w:eastAsia="微软雅黑" w:hAnsi="微软雅黑" w:hint="eastAsia"/>
          <w:b/>
          <w:szCs w:val="24"/>
          <w:lang w:val="en-US" w:eastAsia="zh-CN"/>
        </w:rPr>
        <w:t>培养计划—</w:t>
      </w:r>
      <w:r>
        <w:rPr>
          <w:rFonts w:ascii="微软雅黑" w:eastAsia="微软雅黑" w:hAnsi="微软雅黑" w:hint="eastAsia"/>
          <w:b/>
          <w:szCs w:val="24"/>
        </w:rPr>
        <w:t>菁禾</w:t>
      </w:r>
      <w:r>
        <w:rPr>
          <w:rFonts w:ascii="微软雅黑" w:eastAsia="微软雅黑" w:hAnsi="微软雅黑" w:hint="eastAsia"/>
          <w:b/>
          <w:szCs w:val="24"/>
          <w:lang w:val="en-US" w:eastAsia="zh-CN"/>
        </w:rPr>
        <w:t>计划</w:t>
      </w:r>
    </w:p>
    <w:p w14:paraId="4B1D8397">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eastAsia"/>
          <w:bCs/>
          <w:szCs w:val="24"/>
          <w:highlight w:val="none"/>
          <w:lang w:val="en-US" w:eastAsia="zh-CN"/>
        </w:rPr>
      </w:pPr>
      <w:r>
        <w:rPr>
          <w:rFonts w:ascii="微软雅黑" w:eastAsia="微软雅黑" w:hAnsi="微软雅黑" w:hint="eastAsia"/>
          <w:b/>
          <w:bCs w:val="false"/>
          <w:szCs w:val="24"/>
          <w:highlight w:val="none"/>
        </w:rPr>
        <w:t>培养目标：</w:t>
      </w:r>
      <w:r>
        <w:rPr>
          <w:rFonts w:ascii="微软雅黑" w:eastAsia="微软雅黑" w:hAnsi="微软雅黑" w:hint="eastAsia"/>
          <w:bCs/>
          <w:szCs w:val="24"/>
          <w:highlight w:val="none"/>
          <w:lang w:val="en-US" w:eastAsia="zh-CN"/>
        </w:rPr>
        <w:t>1年成为独立带项目的工程师/主管</w:t>
      </w:r>
    </w:p>
    <w:tbl>
      <w:tblPr>
        <w:tblStyle w:val="style105"/>
        <w:tblW w:w="898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15" w:type="dxa"/>
          <w:left w:w="15" w:type="dxa"/>
          <w:bottom w:w="15" w:type="dxa"/>
          <w:right w:w="15" w:type="dxa"/>
        </w:tblCellMar>
      </w:tblPr>
      <w:tblGrid>
        <w:gridCol w:w="1488"/>
        <w:gridCol w:w="1392"/>
        <w:gridCol w:w="1782"/>
        <w:gridCol w:w="1608"/>
        <w:gridCol w:w="1326"/>
        <w:gridCol w:w="1392"/>
      </w:tblGrid>
      <w:tr w14:paraId="46959825">
        <w:trPr>
          <w:trHeight w:val="288" w:hRule="atLeast"/>
        </w:trPr>
        <w:tc>
          <w:tcPr>
            <w:tcW w:w="14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0307DE">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rPr>
            </w:pPr>
            <w:r>
              <w:rPr>
                <w:rFonts w:ascii="微软雅黑" w:eastAsia="微软雅黑" w:hAnsi="微软雅黑" w:hint="eastAsia"/>
                <w:b/>
                <w:bCs/>
                <w:szCs w:val="24"/>
                <w:lang w:val="en-US" w:eastAsia="zh-CN"/>
              </w:rPr>
              <w:t>菁禾培养阶段</w:t>
            </w:r>
          </w:p>
        </w:tc>
        <w:tc>
          <w:tcPr>
            <w:tcW w:w="13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717313">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rPr>
            </w:pPr>
            <w:r>
              <w:rPr>
                <w:rFonts w:ascii="微软雅黑" w:eastAsia="微软雅黑" w:hAnsi="微软雅黑" w:hint="eastAsia"/>
                <w:b/>
                <w:bCs/>
                <w:szCs w:val="24"/>
                <w:lang w:val="en-US" w:eastAsia="zh-CN"/>
              </w:rPr>
              <w:t>菁禾预备级</w:t>
            </w:r>
          </w:p>
        </w:tc>
        <w:tc>
          <w:tcPr>
            <w:tcW w:w="17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7EA514">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rPr>
            </w:pPr>
            <w:r>
              <w:rPr>
                <w:rFonts w:ascii="微软雅黑" w:eastAsia="微软雅黑" w:hAnsi="微软雅黑" w:hint="eastAsia"/>
                <w:b/>
                <w:bCs/>
                <w:szCs w:val="24"/>
                <w:lang w:val="en-US" w:eastAsia="zh-CN"/>
              </w:rPr>
              <w:t>菁禾一阶</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09FA6F">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rPr>
            </w:pPr>
            <w:r>
              <w:rPr>
                <w:rFonts w:ascii="微软雅黑" w:eastAsia="微软雅黑" w:hAnsi="微软雅黑" w:hint="eastAsia"/>
                <w:b/>
                <w:bCs/>
                <w:szCs w:val="24"/>
                <w:lang w:val="en-US" w:eastAsia="zh-CN"/>
              </w:rPr>
              <w:t>菁禾二阶</w:t>
            </w:r>
          </w:p>
        </w:tc>
        <w:tc>
          <w:tcPr>
            <w:tcW w:w="13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1542A3">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rPr>
            </w:pPr>
            <w:r>
              <w:rPr>
                <w:rFonts w:ascii="微软雅黑" w:eastAsia="微软雅黑" w:hAnsi="微软雅黑" w:hint="eastAsia"/>
                <w:b/>
                <w:bCs/>
                <w:szCs w:val="24"/>
                <w:lang w:val="en-US" w:eastAsia="zh-CN"/>
              </w:rPr>
              <w:t>菁禾三阶</w:t>
            </w:r>
          </w:p>
        </w:tc>
        <w:tc>
          <w:tcPr>
            <w:tcW w:w="13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93AAAE">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rPr>
            </w:pPr>
            <w:r>
              <w:rPr>
                <w:rFonts w:ascii="微软雅黑" w:eastAsia="微软雅黑" w:hAnsi="微软雅黑" w:hint="eastAsia"/>
                <w:b/>
                <w:bCs/>
                <w:szCs w:val="24"/>
                <w:lang w:val="en-US" w:eastAsia="zh-CN"/>
              </w:rPr>
              <w:t>菁禾四阶</w:t>
            </w:r>
          </w:p>
        </w:tc>
      </w:tr>
      <w:tr w14:paraId="6F25FFA7">
        <w:tblPrEx/>
        <w:trPr>
          <w:trHeight w:val="288" w:hRule="atLeast"/>
        </w:trPr>
        <w:tc>
          <w:tcPr>
            <w:tcW w:w="1488" w:type="dxa"/>
            <w:tcBorders>
              <w:left w:val="single" w:sz="4" w:space="0" w:color="000000"/>
              <w:bottom w:val="single" w:sz="4" w:space="0" w:color="000000"/>
              <w:right w:val="single" w:sz="4" w:space="0" w:color="000000"/>
            </w:tcBorders>
            <w:shd w:val="clear" w:color="auto" w:fill="auto"/>
            <w:noWrap/>
            <w:vAlign w:val="center"/>
          </w:tcPr>
          <w:p w14:paraId="194D98CC">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rPr>
            </w:pPr>
            <w:r>
              <w:rPr>
                <w:rFonts w:ascii="微软雅黑" w:eastAsia="微软雅黑" w:hAnsi="微软雅黑" w:hint="eastAsia"/>
                <w:b/>
                <w:bCs/>
                <w:szCs w:val="24"/>
                <w:lang w:val="en-US" w:eastAsia="zh-CN"/>
              </w:rPr>
              <w:t>培养目标</w:t>
            </w:r>
          </w:p>
        </w:tc>
        <w:tc>
          <w:tcPr>
            <w:tcW w:w="1392" w:type="dxa"/>
            <w:tcBorders>
              <w:left w:val="single" w:sz="4" w:space="0" w:color="000000"/>
              <w:bottom w:val="single" w:sz="4" w:space="0" w:color="000000"/>
              <w:right w:val="single" w:sz="4" w:space="0" w:color="000000"/>
            </w:tcBorders>
            <w:shd w:val="clear" w:color="auto" w:fill="auto"/>
            <w:noWrap/>
            <w:vAlign w:val="center"/>
          </w:tcPr>
          <w:p w14:paraId="08CAAE88">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rPr>
            </w:pPr>
            <w:r>
              <w:rPr>
                <w:rFonts w:ascii="微软雅黑" w:eastAsia="微软雅黑" w:hAnsi="微软雅黑" w:hint="eastAsia"/>
                <w:szCs w:val="24"/>
                <w:lang w:val="en-US" w:eastAsia="zh-CN"/>
              </w:rPr>
              <w:t>在校保温</w:t>
            </w:r>
          </w:p>
        </w:tc>
        <w:tc>
          <w:tcPr>
            <w:tcW w:w="1782" w:type="dxa"/>
            <w:tcBorders>
              <w:left w:val="single" w:sz="4" w:space="0" w:color="000000"/>
              <w:bottom w:val="single" w:sz="4" w:space="0" w:color="000000"/>
              <w:right w:val="single" w:sz="4" w:space="0" w:color="000000"/>
            </w:tcBorders>
            <w:shd w:val="clear" w:color="auto" w:fill="auto"/>
            <w:noWrap/>
            <w:vAlign w:val="center"/>
          </w:tcPr>
          <w:p w14:paraId="526591DF">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rPr>
            </w:pPr>
            <w:r>
              <w:rPr>
                <w:rFonts w:ascii="微软雅黑" w:eastAsia="微软雅黑" w:hAnsi="微软雅黑" w:hint="eastAsia"/>
                <w:szCs w:val="24"/>
                <w:lang w:val="en-US" w:eastAsia="zh-CN"/>
              </w:rPr>
              <w:t>角色转换</w:t>
            </w:r>
          </w:p>
        </w:tc>
        <w:tc>
          <w:tcPr>
            <w:tcW w:w="1608" w:type="dxa"/>
            <w:tcBorders>
              <w:left w:val="single" w:sz="4" w:space="0" w:color="000000"/>
              <w:bottom w:val="single" w:sz="4" w:space="0" w:color="000000"/>
              <w:right w:val="single" w:sz="4" w:space="0" w:color="000000"/>
            </w:tcBorders>
            <w:shd w:val="clear" w:color="auto" w:fill="auto"/>
            <w:noWrap/>
            <w:vAlign w:val="center"/>
          </w:tcPr>
          <w:p w14:paraId="5C6E7E19">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rPr>
            </w:pPr>
            <w:r>
              <w:rPr>
                <w:rFonts w:ascii="微软雅黑" w:eastAsia="微软雅黑" w:hAnsi="微软雅黑" w:hint="eastAsia"/>
                <w:szCs w:val="24"/>
                <w:lang w:val="en-US" w:eastAsia="zh-CN"/>
              </w:rPr>
              <w:t>岗位胜任</w:t>
            </w:r>
          </w:p>
        </w:tc>
        <w:tc>
          <w:tcPr>
            <w:tcW w:w="1326" w:type="dxa"/>
            <w:tcBorders>
              <w:left w:val="single" w:sz="4" w:space="0" w:color="000000"/>
              <w:bottom w:val="single" w:sz="4" w:space="0" w:color="000000"/>
              <w:right w:val="single" w:sz="4" w:space="0" w:color="000000"/>
            </w:tcBorders>
            <w:shd w:val="clear" w:color="auto" w:fill="auto"/>
            <w:noWrap/>
            <w:vAlign w:val="center"/>
          </w:tcPr>
          <w:p w14:paraId="2D7A9836">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default"/>
                <w:szCs w:val="24"/>
                <w:lang w:val="en-US" w:eastAsia="zh-CN"/>
              </w:rPr>
            </w:pPr>
            <w:r>
              <w:rPr>
                <w:rFonts w:ascii="微软雅黑" w:eastAsia="微软雅黑" w:hAnsi="微软雅黑" w:hint="eastAsia"/>
                <w:szCs w:val="24"/>
                <w:highlight w:val="none"/>
                <w:lang w:val="en-US" w:eastAsia="zh-CN"/>
              </w:rPr>
              <w:t>独立带项目</w:t>
            </w:r>
          </w:p>
        </w:tc>
        <w:tc>
          <w:tcPr>
            <w:tcW w:w="1392" w:type="dxa"/>
            <w:tcBorders>
              <w:left w:val="single" w:sz="4" w:space="0" w:color="000000"/>
              <w:bottom w:val="single" w:sz="4" w:space="0" w:color="000000"/>
              <w:right w:val="single" w:sz="4" w:space="0" w:color="000000"/>
            </w:tcBorders>
            <w:shd w:val="clear" w:color="auto" w:fill="auto"/>
            <w:noWrap/>
            <w:vAlign w:val="center"/>
          </w:tcPr>
          <w:p w14:paraId="67416474">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default"/>
                <w:szCs w:val="24"/>
                <w:lang w:val="en-US" w:eastAsia="zh-CN"/>
              </w:rPr>
            </w:pPr>
            <w:r>
              <w:rPr>
                <w:rFonts w:ascii="微软雅黑" w:eastAsia="微软雅黑" w:hAnsi="微软雅黑" w:hint="eastAsia"/>
                <w:szCs w:val="24"/>
                <w:highlight w:val="none"/>
                <w:lang w:val="en-US" w:eastAsia="zh-CN"/>
              </w:rPr>
              <w:t>综合能力提升</w:t>
            </w:r>
          </w:p>
        </w:tc>
      </w:tr>
      <w:tr w14:paraId="70BA2B29">
        <w:tblPrEx/>
        <w:trPr>
          <w:trHeight w:val="288" w:hRule="atLeast"/>
        </w:trPr>
        <w:tc>
          <w:tcPr>
            <w:tcW w:w="1488" w:type="dxa"/>
            <w:tcBorders>
              <w:left w:val="single" w:sz="4" w:space="0" w:color="000000"/>
              <w:bottom w:val="single" w:sz="4" w:space="0" w:color="000000"/>
              <w:right w:val="single" w:sz="4" w:space="0" w:color="000000"/>
            </w:tcBorders>
            <w:shd w:val="clear" w:color="auto" w:fill="auto"/>
            <w:noWrap/>
            <w:vAlign w:val="center"/>
          </w:tcPr>
          <w:p w14:paraId="79FB71FB">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rPr>
            </w:pPr>
            <w:r>
              <w:rPr>
                <w:rFonts w:ascii="微软雅黑" w:eastAsia="微软雅黑" w:hAnsi="微软雅黑" w:hint="eastAsia"/>
                <w:b/>
                <w:bCs/>
                <w:szCs w:val="24"/>
                <w:lang w:val="en-US" w:eastAsia="zh-CN"/>
              </w:rPr>
              <w:t>培养途径</w:t>
            </w:r>
          </w:p>
        </w:tc>
        <w:tc>
          <w:tcPr>
            <w:tcW w:w="1392" w:type="dxa"/>
            <w:tcBorders>
              <w:left w:val="single" w:sz="4" w:space="0" w:color="000000"/>
              <w:bottom w:val="single" w:sz="4" w:space="0" w:color="000000"/>
              <w:right w:val="single" w:sz="4" w:space="0" w:color="000000"/>
            </w:tcBorders>
            <w:shd w:val="clear" w:color="auto" w:fill="auto"/>
            <w:noWrap/>
            <w:vAlign w:val="center"/>
          </w:tcPr>
          <w:p w14:paraId="163B1943">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rPr>
            </w:pPr>
            <w:r>
              <w:rPr>
                <w:rFonts w:ascii="微软雅黑" w:eastAsia="微软雅黑" w:hAnsi="微软雅黑" w:hint="eastAsia"/>
                <w:szCs w:val="24"/>
                <w:lang w:val="en-US" w:eastAsia="zh-CN"/>
              </w:rPr>
              <w:t>线上互动</w:t>
            </w:r>
          </w:p>
        </w:tc>
        <w:tc>
          <w:tcPr>
            <w:tcW w:w="1782" w:type="dxa"/>
            <w:tcBorders>
              <w:left w:val="single" w:sz="4" w:space="0" w:color="000000"/>
              <w:bottom w:val="single" w:sz="4" w:space="0" w:color="000000"/>
              <w:right w:val="single" w:sz="4" w:space="0" w:color="000000"/>
            </w:tcBorders>
            <w:shd w:val="clear" w:color="auto" w:fill="auto"/>
            <w:noWrap/>
            <w:vAlign w:val="center"/>
          </w:tcPr>
          <w:p w14:paraId="2DEB76A6">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rPr>
            </w:pPr>
            <w:r>
              <w:rPr>
                <w:rFonts w:ascii="微软雅黑" w:eastAsia="微软雅黑" w:hAnsi="微软雅黑" w:hint="eastAsia"/>
                <w:szCs w:val="24"/>
                <w:lang w:val="en-US" w:eastAsia="zh-CN"/>
              </w:rPr>
              <w:t>集中培训</w:t>
            </w:r>
          </w:p>
        </w:tc>
        <w:tc>
          <w:tcPr>
            <w:tcW w:w="1608" w:type="dxa"/>
            <w:tcBorders>
              <w:left w:val="single" w:sz="4" w:space="0" w:color="000000"/>
              <w:bottom w:val="single" w:sz="4" w:space="0" w:color="000000"/>
              <w:right w:val="single" w:sz="4" w:space="0" w:color="000000"/>
            </w:tcBorders>
            <w:shd w:val="clear" w:color="auto" w:fill="auto"/>
            <w:noWrap/>
            <w:vAlign w:val="center"/>
          </w:tcPr>
          <w:p w14:paraId="3F9865E8">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rPr>
            </w:pPr>
            <w:r>
              <w:rPr>
                <w:rFonts w:ascii="微软雅黑" w:eastAsia="微软雅黑" w:hAnsi="微软雅黑" w:hint="eastAsia"/>
                <w:szCs w:val="24"/>
                <w:lang w:val="en-US" w:eastAsia="zh-CN"/>
              </w:rPr>
              <w:t>导师带教</w:t>
            </w:r>
          </w:p>
        </w:tc>
        <w:tc>
          <w:tcPr>
            <w:tcW w:w="1326" w:type="dxa"/>
            <w:tcBorders>
              <w:left w:val="single" w:sz="4" w:space="0" w:color="000000"/>
              <w:bottom w:val="single" w:sz="4" w:space="0" w:color="000000"/>
              <w:right w:val="single" w:sz="4" w:space="0" w:color="000000"/>
            </w:tcBorders>
            <w:shd w:val="clear" w:color="auto" w:fill="auto"/>
            <w:noWrap/>
            <w:vAlign w:val="center"/>
          </w:tcPr>
          <w:p w14:paraId="193BA224">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rPr>
            </w:pPr>
            <w:r>
              <w:rPr>
                <w:rFonts w:ascii="微软雅黑" w:eastAsia="微软雅黑" w:hAnsi="微软雅黑" w:hint="eastAsia"/>
                <w:szCs w:val="24"/>
                <w:lang w:val="en-US" w:eastAsia="zh-CN"/>
              </w:rPr>
              <w:t>教练带教</w:t>
            </w:r>
          </w:p>
        </w:tc>
        <w:tc>
          <w:tcPr>
            <w:tcW w:w="1392" w:type="dxa"/>
            <w:tcBorders>
              <w:left w:val="single" w:sz="4" w:space="0" w:color="000000"/>
              <w:bottom w:val="single" w:sz="4" w:space="0" w:color="000000"/>
              <w:right w:val="single" w:sz="4" w:space="0" w:color="000000"/>
            </w:tcBorders>
            <w:shd w:val="clear" w:color="auto" w:fill="auto"/>
            <w:noWrap/>
            <w:vAlign w:val="center"/>
          </w:tcPr>
          <w:p w14:paraId="614AB977">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rPr>
            </w:pPr>
            <w:r>
              <w:rPr>
                <w:rFonts w:ascii="微软雅黑" w:eastAsia="微软雅黑" w:hAnsi="微软雅黑" w:hint="eastAsia"/>
                <w:szCs w:val="24"/>
                <w:lang w:val="en-US" w:eastAsia="zh-CN"/>
              </w:rPr>
              <w:t>IDP计划</w:t>
            </w:r>
          </w:p>
        </w:tc>
      </w:tr>
    </w:tbl>
    <w:p w14:paraId="33E768EF">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eastAsia"/>
          <w:b/>
          <w:szCs w:val="24"/>
          <w:lang w:eastAsia="zh-CN"/>
        </w:rPr>
      </w:pPr>
    </w:p>
    <w:p w14:paraId="0F2A6BC5">
      <w:pPr>
        <w:pStyle w:val="style0"/>
        <w:keepNext w:val="false"/>
        <w:keepLines w:val="false"/>
        <w:pageBreakBefore w:val="false"/>
        <w:numPr>
          <w:ilvl w:val="0"/>
          <w:numId w:val="2"/>
        </w:numPr>
        <w:kinsoku/>
        <w:wordWrap/>
        <w:overflowPunct/>
        <w:topLinePunct w:val="false"/>
        <w:autoSpaceDE/>
        <w:autoSpaceDN/>
        <w:bidi w:val="false"/>
        <w:adjustRightInd/>
        <w:snapToGrid w:val="false"/>
        <w:spacing w:lineRule="auto" w:line="240"/>
        <w:textAlignment w:val="auto"/>
        <w:rPr>
          <w:rFonts w:ascii="微软雅黑" w:eastAsia="微软雅黑" w:hAnsi="微软雅黑" w:hint="eastAsia"/>
          <w:b/>
          <w:szCs w:val="24"/>
          <w:lang w:val="en-US" w:eastAsia="zh-CN"/>
        </w:rPr>
      </w:pPr>
      <w:r>
        <w:rPr>
          <w:rFonts w:ascii="微软雅黑" w:eastAsia="微软雅黑" w:hAnsi="微软雅黑" w:hint="eastAsia"/>
          <w:b/>
          <w:szCs w:val="24"/>
          <w:lang w:val="en-US" w:eastAsia="zh-CN"/>
        </w:rPr>
        <w:t>人才发展路径</w:t>
      </w:r>
    </w:p>
    <w:p w14:paraId="56819EE4">
      <w:pPr>
        <w:pStyle w:val="style0"/>
        <w:keepNext w:val="false"/>
        <w:keepLines w:val="false"/>
        <w:pageBreakBefore w:val="false"/>
        <w:numPr>
          <w:ilvl w:val="0"/>
          <w:numId w:val="0"/>
        </w:numPr>
        <w:kinsoku/>
        <w:wordWrap/>
        <w:overflowPunct/>
        <w:topLinePunct w:val="false"/>
        <w:autoSpaceDE/>
        <w:autoSpaceDN/>
        <w:bidi w:val="false"/>
        <w:adjustRightInd/>
        <w:snapToGrid w:val="false"/>
        <w:spacing w:lineRule="auto" w:line="240"/>
        <w:textAlignment w:val="auto"/>
        <w:rPr>
          <w:rFonts w:ascii="微软雅黑" w:cs="微软雅黑" w:eastAsia="微软雅黑" w:hAnsi="微软雅黑" w:hint="eastAsia"/>
          <w:color w:val="auto"/>
          <w:highlight w:val="none"/>
          <w:lang w:val="en-US" w:eastAsia="zh-CN"/>
        </w:rPr>
      </w:pPr>
      <w:r>
        <w:rPr>
          <w:rFonts w:ascii="微软雅黑" w:eastAsia="微软雅黑" w:hAnsi="微软雅黑" w:hint="eastAsia"/>
          <w:b/>
          <w:szCs w:val="24"/>
          <w:lang w:val="en-US" w:eastAsia="zh-CN"/>
        </w:rPr>
        <w:t>培养原则：</w:t>
      </w:r>
      <w:r>
        <w:rPr>
          <w:rFonts w:ascii="微软雅黑" w:cs="微软雅黑" w:eastAsia="微软雅黑" w:hAnsi="微软雅黑" w:hint="eastAsia"/>
          <w:color w:val="auto"/>
          <w:highlight w:val="none"/>
        </w:rPr>
        <w:t>“专业培养”和“综合</w:t>
      </w:r>
      <w:r>
        <w:rPr>
          <w:rFonts w:ascii="微软雅黑" w:cs="微软雅黑" w:eastAsia="微软雅黑" w:hAnsi="微软雅黑" w:hint="eastAsia"/>
          <w:color w:val="auto"/>
          <w:highlight w:val="none"/>
          <w:lang w:val="en-US" w:eastAsia="zh-CN"/>
        </w:rPr>
        <w:t>提升”</w:t>
      </w:r>
      <w:r>
        <w:rPr>
          <w:rFonts w:ascii="微软雅黑" w:cs="微软雅黑" w:eastAsia="微软雅黑" w:hAnsi="微软雅黑" w:hint="eastAsia"/>
          <w:color w:val="auto"/>
          <w:highlight w:val="none"/>
        </w:rPr>
        <w:t>相结合</w:t>
      </w:r>
      <w:r>
        <w:rPr>
          <w:rFonts w:ascii="微软雅黑" w:cs="微软雅黑" w:eastAsia="微软雅黑" w:hAnsi="微软雅黑" w:hint="eastAsia"/>
          <w:color w:val="auto"/>
          <w:highlight w:val="none"/>
          <w:lang w:eastAsia="zh-CN"/>
        </w:rPr>
        <w:t>、“</w:t>
      </w:r>
      <w:r>
        <w:rPr>
          <w:rFonts w:ascii="微软雅黑" w:cs="微软雅黑" w:eastAsia="微软雅黑" w:hAnsi="微软雅黑" w:hint="eastAsia"/>
          <w:color w:val="auto"/>
          <w:highlight w:val="none"/>
          <w:lang w:val="en-US" w:eastAsia="zh-CN"/>
        </w:rPr>
        <w:t>管理通道</w:t>
      </w:r>
      <w:r>
        <w:rPr>
          <w:rFonts w:ascii="微软雅黑" w:cs="微软雅黑" w:eastAsia="微软雅黑" w:hAnsi="微软雅黑" w:hint="eastAsia"/>
          <w:color w:val="auto"/>
          <w:highlight w:val="none"/>
          <w:lang w:eastAsia="zh-CN"/>
        </w:rPr>
        <w:t>”</w:t>
      </w:r>
      <w:r>
        <w:rPr>
          <w:rFonts w:ascii="微软雅黑" w:cs="微软雅黑" w:eastAsia="微软雅黑" w:hAnsi="微软雅黑" w:hint="eastAsia"/>
          <w:color w:val="auto"/>
          <w:highlight w:val="none"/>
          <w:lang w:val="en-US" w:eastAsia="zh-CN"/>
        </w:rPr>
        <w:t>与“技术通道”双发展</w:t>
      </w:r>
    </w:p>
    <w:p w14:paraId="2DF337CF">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default"/>
          <w:bCs/>
          <w:szCs w:val="24"/>
          <w:highlight w:val="none"/>
          <w:lang w:val="en-US" w:eastAsia="zh-CN"/>
        </w:rPr>
      </w:pPr>
      <w:r>
        <w:rPr>
          <w:rFonts w:ascii="微软雅黑" w:cs="微软雅黑" w:eastAsia="微软雅黑" w:hAnsi="微软雅黑" w:hint="eastAsia"/>
          <w:b/>
          <w:bCs/>
          <w:color w:val="auto"/>
          <w:highlight w:val="none"/>
          <w:lang w:val="en-US" w:eastAsia="zh-CN"/>
        </w:rPr>
        <w:t>培养目标：</w:t>
      </w:r>
      <w:r>
        <w:rPr>
          <w:rFonts w:ascii="微软雅黑" w:eastAsia="微软雅黑" w:hAnsi="微软雅黑" w:hint="eastAsia"/>
          <w:bCs/>
          <w:szCs w:val="24"/>
          <w:highlight w:val="none"/>
          <w:lang w:val="en-US" w:eastAsia="zh-CN"/>
        </w:rPr>
        <w:t>3-4年成为公司核心骨干后备，5~6年成为公司核心骨干人才</w:t>
      </w:r>
    </w:p>
    <w:p w14:paraId="01563D60">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default"/>
          <w:bCs/>
          <w:szCs w:val="24"/>
          <w:highlight w:val="none"/>
          <w:lang w:val="en-US" w:eastAsia="zh-CN"/>
        </w:rPr>
      </w:pPr>
      <w:r>
        <w:rPr>
          <w:rFonts w:ascii="微软雅黑" w:eastAsia="微软雅黑" w:hAnsi="微软雅黑" w:hint="eastAsia"/>
          <w:b/>
          <w:bCs w:val="false"/>
          <w:szCs w:val="24"/>
          <w:highlight w:val="none"/>
          <w:lang w:val="en-US" w:eastAsia="zh-CN"/>
        </w:rPr>
        <w:t>晋升比例：</w:t>
      </w:r>
      <w:r>
        <w:rPr>
          <w:rFonts w:ascii="微软雅黑" w:eastAsia="微软雅黑" w:hAnsi="微软雅黑" w:hint="eastAsia"/>
          <w:bCs/>
          <w:szCs w:val="24"/>
          <w:highlight w:val="none"/>
          <w:lang w:val="en-US" w:eastAsia="zh-CN"/>
        </w:rPr>
        <w:t>前两年独立人才评价，晋升比例最高50%。</w:t>
      </w:r>
    </w:p>
    <w:tbl>
      <w:tblPr>
        <w:tblStyle w:val="style105"/>
        <w:tblW w:w="8496"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15" w:type="dxa"/>
          <w:left w:w="15" w:type="dxa"/>
          <w:bottom w:w="15" w:type="dxa"/>
          <w:right w:w="15" w:type="dxa"/>
        </w:tblCellMar>
      </w:tblPr>
      <w:tblGrid>
        <w:gridCol w:w="1421"/>
        <w:gridCol w:w="1759"/>
        <w:gridCol w:w="1867"/>
        <w:gridCol w:w="1877"/>
        <w:gridCol w:w="1572"/>
      </w:tblGrid>
      <w:tr w14:paraId="04FE18C8">
        <w:trPr>
          <w:trHeight w:val="674" w:hRule="atLeast"/>
        </w:trPr>
        <w:tc>
          <w:tcPr>
            <w:tcW w:w="14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E9CAE8">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lang w:val="en-US" w:eastAsia="zh-CN"/>
              </w:rPr>
            </w:pPr>
            <w:r>
              <w:rPr>
                <w:rFonts w:ascii="微软雅黑" w:eastAsia="微软雅黑" w:hAnsi="微软雅黑" w:hint="eastAsia"/>
                <w:b/>
                <w:bCs/>
                <w:szCs w:val="24"/>
                <w:lang w:val="en-US" w:eastAsia="zh-CN"/>
              </w:rPr>
              <w:t>人才发展规划</w:t>
            </w:r>
          </w:p>
        </w:tc>
        <w:tc>
          <w:tcPr>
            <w:tcW w:w="17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E2DE9A">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lang w:val="en-US" w:eastAsia="zh-CN"/>
              </w:rPr>
            </w:pPr>
            <w:r>
              <w:rPr>
                <w:rFonts w:ascii="微软雅黑" w:eastAsia="微软雅黑" w:hAnsi="微软雅黑" w:hint="eastAsia"/>
                <w:b/>
                <w:bCs/>
                <w:szCs w:val="24"/>
                <w:lang w:val="en-US" w:eastAsia="zh-CN"/>
              </w:rPr>
              <w:t>第1年</w:t>
            </w:r>
          </w:p>
          <w:p w14:paraId="702D4422">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lang w:val="en-US" w:eastAsia="zh-CN"/>
              </w:rPr>
            </w:pPr>
            <w:r>
              <w:rPr>
                <w:rFonts w:ascii="微软雅黑" w:eastAsia="微软雅黑" w:hAnsi="微软雅黑" w:hint="eastAsia"/>
                <w:b/>
                <w:bCs/>
                <w:szCs w:val="24"/>
                <w:lang w:val="en-US" w:eastAsia="zh-CN"/>
              </w:rPr>
              <w:t>菁禾计划</w:t>
            </w:r>
          </w:p>
        </w:tc>
        <w:tc>
          <w:tcPr>
            <w:tcW w:w="18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2D3083">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lang w:val="en-US" w:eastAsia="zh-CN"/>
              </w:rPr>
            </w:pPr>
            <w:r>
              <w:rPr>
                <w:rFonts w:ascii="微软雅黑" w:eastAsia="微软雅黑" w:hAnsi="微软雅黑" w:hint="eastAsia"/>
                <w:b/>
                <w:bCs/>
                <w:szCs w:val="24"/>
                <w:lang w:val="en-US" w:eastAsia="zh-CN"/>
              </w:rPr>
              <w:t>第1-2年</w:t>
            </w:r>
          </w:p>
          <w:p w14:paraId="39BD2FC8">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lang w:val="en-US" w:eastAsia="zh-CN"/>
              </w:rPr>
            </w:pPr>
            <w:r>
              <w:rPr>
                <w:rFonts w:ascii="微软雅黑" w:eastAsia="微软雅黑" w:hAnsi="微软雅黑" w:hint="eastAsia"/>
                <w:b/>
                <w:bCs/>
                <w:szCs w:val="24"/>
                <w:lang w:val="en-US" w:eastAsia="zh-CN"/>
              </w:rPr>
              <w:t>菁禾A+计划</w:t>
            </w:r>
          </w:p>
        </w:tc>
        <w:tc>
          <w:tcPr>
            <w:tcW w:w="18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7F99E0">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lang w:val="en-US" w:eastAsia="zh-CN"/>
              </w:rPr>
            </w:pPr>
            <w:r>
              <w:rPr>
                <w:rFonts w:ascii="微软雅黑" w:eastAsia="微软雅黑" w:hAnsi="微软雅黑" w:hint="eastAsia"/>
                <w:b/>
                <w:bCs/>
                <w:szCs w:val="24"/>
                <w:lang w:val="en-US" w:eastAsia="zh-CN"/>
              </w:rPr>
              <w:t>第3-4年</w:t>
            </w:r>
          </w:p>
          <w:p w14:paraId="3CD7B017">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lang w:val="en-US" w:eastAsia="zh-CN"/>
              </w:rPr>
            </w:pPr>
            <w:r>
              <w:rPr>
                <w:rFonts w:ascii="微软雅黑" w:eastAsia="微软雅黑" w:hAnsi="微软雅黑" w:hint="eastAsia"/>
                <w:b/>
                <w:bCs/>
                <w:szCs w:val="24"/>
                <w:lang w:val="en-US" w:eastAsia="zh-CN"/>
              </w:rPr>
              <w:t>青藤计划</w:t>
            </w:r>
          </w:p>
        </w:tc>
        <w:tc>
          <w:tcPr>
            <w:tcW w:w="15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771292">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lang w:val="en-US" w:eastAsia="zh-CN"/>
              </w:rPr>
            </w:pPr>
            <w:r>
              <w:rPr>
                <w:rFonts w:ascii="微软雅黑" w:eastAsia="微软雅黑" w:hAnsi="微软雅黑" w:hint="eastAsia"/>
                <w:b/>
                <w:bCs/>
                <w:szCs w:val="24"/>
                <w:lang w:val="en-US" w:eastAsia="zh-CN"/>
              </w:rPr>
              <w:t>第5-6年</w:t>
            </w:r>
          </w:p>
          <w:p w14:paraId="0A34A822">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lang w:val="en-US" w:eastAsia="zh-CN"/>
              </w:rPr>
            </w:pPr>
            <w:r>
              <w:rPr>
                <w:rFonts w:ascii="微软雅黑" w:eastAsia="微软雅黑" w:hAnsi="微软雅黑" w:hint="eastAsia"/>
                <w:b/>
                <w:bCs/>
                <w:szCs w:val="24"/>
                <w:lang w:val="en-US" w:eastAsia="zh-CN"/>
              </w:rPr>
              <w:t>青松计划</w:t>
            </w:r>
          </w:p>
        </w:tc>
      </w:tr>
      <w:tr w14:paraId="6EB206EF">
        <w:tblPrEx/>
        <w:trPr>
          <w:trHeight w:val="288" w:hRule="atLeast"/>
        </w:trPr>
        <w:tc>
          <w:tcPr>
            <w:tcW w:w="1421" w:type="dxa"/>
            <w:tcBorders>
              <w:left w:val="single" w:sz="4" w:space="0" w:color="000000"/>
              <w:bottom w:val="single" w:sz="4" w:space="0" w:color="000000"/>
              <w:right w:val="single" w:sz="4" w:space="0" w:color="000000"/>
            </w:tcBorders>
            <w:shd w:val="clear" w:color="auto" w:fill="auto"/>
            <w:noWrap/>
            <w:vAlign w:val="center"/>
          </w:tcPr>
          <w:p w14:paraId="670E3F75">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lang w:val="en-US" w:eastAsia="zh-CN"/>
              </w:rPr>
            </w:pPr>
            <w:r>
              <w:rPr>
                <w:rFonts w:ascii="微软雅黑" w:eastAsia="微软雅黑" w:hAnsi="微软雅黑" w:hint="eastAsia"/>
                <w:b/>
                <w:bCs/>
                <w:szCs w:val="24"/>
                <w:lang w:val="en-US" w:eastAsia="zh-CN"/>
              </w:rPr>
              <w:t>人才评价</w:t>
            </w:r>
          </w:p>
        </w:tc>
        <w:tc>
          <w:tcPr>
            <w:tcW w:w="1759" w:type="dxa"/>
            <w:tcBorders>
              <w:left w:val="single" w:sz="4" w:space="0" w:color="000000"/>
              <w:bottom w:val="single" w:sz="4" w:space="0" w:color="000000"/>
              <w:right w:val="single" w:sz="4" w:space="0" w:color="000000"/>
            </w:tcBorders>
            <w:shd w:val="clear" w:color="auto" w:fill="auto"/>
            <w:noWrap/>
            <w:vAlign w:val="center"/>
          </w:tcPr>
          <w:p w14:paraId="3673F8A1">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lang w:val="en-US" w:eastAsia="zh-CN"/>
              </w:rPr>
            </w:pPr>
            <w:r>
              <w:rPr>
                <w:rFonts w:ascii="微软雅黑" w:eastAsia="微软雅黑" w:hAnsi="微软雅黑" w:hint="eastAsia"/>
                <w:szCs w:val="24"/>
                <w:lang w:val="en-US" w:eastAsia="zh-CN"/>
              </w:rPr>
              <w:t>菁禾独立人才评价</w:t>
            </w:r>
          </w:p>
        </w:tc>
        <w:tc>
          <w:tcPr>
            <w:tcW w:w="1867" w:type="dxa"/>
            <w:tcBorders>
              <w:left w:val="single" w:sz="4" w:space="0" w:color="000000"/>
              <w:bottom w:val="single" w:sz="4" w:space="0" w:color="000000"/>
              <w:right w:val="single" w:sz="4" w:space="0" w:color="000000"/>
            </w:tcBorders>
            <w:shd w:val="clear" w:color="auto" w:fill="auto"/>
            <w:noWrap/>
            <w:vAlign w:val="center"/>
          </w:tcPr>
          <w:p w14:paraId="3DC136D3">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lang w:val="en-US" w:eastAsia="zh-CN"/>
              </w:rPr>
            </w:pPr>
            <w:r>
              <w:rPr>
                <w:rFonts w:ascii="微软雅黑" w:eastAsia="微软雅黑" w:hAnsi="微软雅黑" w:hint="eastAsia"/>
                <w:szCs w:val="24"/>
                <w:lang w:val="en-US" w:eastAsia="zh-CN"/>
              </w:rPr>
              <w:t>菁禾独立人才评价</w:t>
            </w:r>
          </w:p>
        </w:tc>
        <w:tc>
          <w:tcPr>
            <w:tcW w:w="1877" w:type="dxa"/>
            <w:tcBorders>
              <w:left w:val="single" w:sz="4" w:space="0" w:color="000000"/>
              <w:bottom w:val="single" w:sz="4" w:space="0" w:color="000000"/>
              <w:right w:val="single" w:sz="4" w:space="0" w:color="000000"/>
            </w:tcBorders>
            <w:shd w:val="clear" w:color="auto" w:fill="auto"/>
            <w:noWrap/>
            <w:vAlign w:val="center"/>
          </w:tcPr>
          <w:p w14:paraId="4BB3A959">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lang w:val="en-US" w:eastAsia="zh-CN"/>
              </w:rPr>
            </w:pPr>
            <w:r>
              <w:rPr>
                <w:rFonts w:ascii="微软雅黑" w:eastAsia="微软雅黑" w:hAnsi="微软雅黑" w:hint="eastAsia"/>
                <w:szCs w:val="24"/>
                <w:lang w:val="en-US" w:eastAsia="zh-CN"/>
              </w:rPr>
              <w:t>公司级人才评价</w:t>
            </w:r>
          </w:p>
        </w:tc>
        <w:tc>
          <w:tcPr>
            <w:tcW w:w="1572" w:type="dxa"/>
            <w:tcBorders>
              <w:left w:val="single" w:sz="4" w:space="0" w:color="000000"/>
              <w:bottom w:val="single" w:sz="4" w:space="0" w:color="000000"/>
              <w:right w:val="single" w:sz="4" w:space="0" w:color="000000"/>
            </w:tcBorders>
            <w:shd w:val="clear" w:color="auto" w:fill="auto"/>
            <w:noWrap/>
            <w:vAlign w:val="center"/>
          </w:tcPr>
          <w:p w14:paraId="7D437239">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lang w:val="en-US" w:eastAsia="zh-CN"/>
              </w:rPr>
            </w:pPr>
            <w:r>
              <w:rPr>
                <w:rFonts w:ascii="微软雅黑" w:eastAsia="微软雅黑" w:hAnsi="微软雅黑" w:hint="eastAsia"/>
                <w:szCs w:val="24"/>
                <w:lang w:val="en-US" w:eastAsia="zh-CN"/>
              </w:rPr>
              <w:t>公司级人才评价</w:t>
            </w:r>
          </w:p>
        </w:tc>
      </w:tr>
      <w:tr w14:paraId="124B7C20">
        <w:tblPrEx/>
        <w:trPr>
          <w:trHeight w:val="288" w:hRule="atLeast"/>
        </w:trPr>
        <w:tc>
          <w:tcPr>
            <w:tcW w:w="1421" w:type="dxa"/>
            <w:tcBorders>
              <w:left w:val="single" w:sz="4" w:space="0" w:color="000000"/>
              <w:bottom w:val="single" w:sz="4" w:space="0" w:color="000000"/>
              <w:right w:val="single" w:sz="4" w:space="0" w:color="000000"/>
            </w:tcBorders>
            <w:shd w:val="clear" w:color="auto" w:fill="auto"/>
            <w:noWrap/>
            <w:vAlign w:val="center"/>
          </w:tcPr>
          <w:p w14:paraId="62106C33">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b/>
                <w:bCs/>
                <w:szCs w:val="24"/>
                <w:lang w:val="en-US" w:eastAsia="zh-CN"/>
              </w:rPr>
            </w:pPr>
            <w:r>
              <w:rPr>
                <w:rFonts w:ascii="微软雅黑" w:eastAsia="微软雅黑" w:hAnsi="微软雅黑" w:hint="eastAsia"/>
                <w:b/>
                <w:bCs/>
                <w:szCs w:val="24"/>
                <w:lang w:val="en-US" w:eastAsia="zh-CN"/>
              </w:rPr>
              <w:t>晋升比例</w:t>
            </w:r>
          </w:p>
        </w:tc>
        <w:tc>
          <w:tcPr>
            <w:tcW w:w="1759" w:type="dxa"/>
            <w:tcBorders>
              <w:left w:val="single" w:sz="4" w:space="0" w:color="000000"/>
              <w:bottom w:val="single" w:sz="4" w:space="0" w:color="000000"/>
              <w:right w:val="single" w:sz="4" w:space="0" w:color="000000"/>
            </w:tcBorders>
            <w:shd w:val="clear" w:color="auto" w:fill="auto"/>
            <w:noWrap/>
            <w:vAlign w:val="center"/>
          </w:tcPr>
          <w:p w14:paraId="624E06FB">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lang w:val="en-US" w:eastAsia="zh-CN"/>
              </w:rPr>
            </w:pPr>
            <w:r>
              <w:rPr>
                <w:rFonts w:ascii="微软雅黑" w:eastAsia="微软雅黑" w:hAnsi="微软雅黑" w:hint="eastAsia"/>
                <w:szCs w:val="24"/>
                <w:lang w:val="en-US" w:eastAsia="zh-CN"/>
              </w:rPr>
              <w:t>40%-50%</w:t>
            </w:r>
          </w:p>
        </w:tc>
        <w:tc>
          <w:tcPr>
            <w:tcW w:w="1867" w:type="dxa"/>
            <w:tcBorders>
              <w:left w:val="single" w:sz="4" w:space="0" w:color="000000"/>
              <w:bottom w:val="single" w:sz="4" w:space="0" w:color="000000"/>
              <w:right w:val="single" w:sz="4" w:space="0" w:color="000000"/>
            </w:tcBorders>
            <w:shd w:val="clear" w:color="auto" w:fill="auto"/>
            <w:noWrap/>
            <w:vAlign w:val="center"/>
          </w:tcPr>
          <w:p w14:paraId="06AC1EF7">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lang w:val="en-US" w:eastAsia="zh-CN"/>
              </w:rPr>
            </w:pPr>
            <w:r>
              <w:rPr>
                <w:rFonts w:ascii="微软雅黑" w:eastAsia="微软雅黑" w:hAnsi="微软雅黑" w:hint="eastAsia"/>
                <w:szCs w:val="24"/>
                <w:lang w:val="en-US" w:eastAsia="zh-CN"/>
              </w:rPr>
              <w:t>40%-50%</w:t>
            </w:r>
          </w:p>
        </w:tc>
        <w:tc>
          <w:tcPr>
            <w:tcW w:w="1877" w:type="dxa"/>
            <w:tcBorders>
              <w:left w:val="single" w:sz="4" w:space="0" w:color="000000"/>
              <w:bottom w:val="single" w:sz="4" w:space="0" w:color="000000"/>
              <w:right w:val="single" w:sz="4" w:space="0" w:color="000000"/>
            </w:tcBorders>
            <w:shd w:val="clear" w:color="auto" w:fill="auto"/>
            <w:noWrap/>
            <w:vAlign w:val="center"/>
          </w:tcPr>
          <w:p w14:paraId="21128F62">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lang w:val="en-US" w:eastAsia="zh-CN"/>
              </w:rPr>
            </w:pPr>
            <w:r>
              <w:rPr>
                <w:rFonts w:ascii="微软雅黑" w:eastAsia="微软雅黑" w:hAnsi="微软雅黑" w:hint="eastAsia"/>
                <w:szCs w:val="24"/>
                <w:lang w:val="en-US" w:eastAsia="zh-CN"/>
              </w:rPr>
              <w:t>10%-20%</w:t>
            </w:r>
          </w:p>
        </w:tc>
        <w:tc>
          <w:tcPr>
            <w:tcW w:w="1572" w:type="dxa"/>
            <w:tcBorders>
              <w:left w:val="single" w:sz="4" w:space="0" w:color="000000"/>
              <w:bottom w:val="single" w:sz="4" w:space="0" w:color="000000"/>
              <w:right w:val="single" w:sz="4" w:space="0" w:color="000000"/>
            </w:tcBorders>
            <w:shd w:val="clear" w:color="auto" w:fill="auto"/>
            <w:noWrap/>
            <w:vAlign w:val="center"/>
          </w:tcPr>
          <w:p w14:paraId="732AE63F">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lang w:val="en-US" w:eastAsia="zh-CN"/>
              </w:rPr>
            </w:pPr>
            <w:r>
              <w:rPr>
                <w:rFonts w:ascii="微软雅黑" w:eastAsia="微软雅黑" w:hAnsi="微软雅黑" w:hint="eastAsia"/>
                <w:szCs w:val="24"/>
                <w:lang w:val="en-US" w:eastAsia="zh-CN"/>
              </w:rPr>
              <w:t>10%-20%</w:t>
            </w:r>
          </w:p>
        </w:tc>
      </w:tr>
      <w:tr w14:paraId="6D703E26">
        <w:tblPrEx/>
        <w:trPr>
          <w:trHeight w:val="288" w:hRule="atLeast"/>
        </w:trPr>
        <w:tc>
          <w:tcPr>
            <w:tcW w:w="1421" w:type="dxa"/>
            <w:tcBorders>
              <w:left w:val="single" w:sz="4" w:space="0" w:color="000000"/>
              <w:bottom w:val="single" w:sz="4" w:space="0" w:color="000000"/>
              <w:right w:val="single" w:sz="4" w:space="0" w:color="000000"/>
            </w:tcBorders>
            <w:shd w:val="clear" w:color="auto" w:fill="auto"/>
            <w:noWrap/>
            <w:vAlign w:val="center"/>
          </w:tcPr>
          <w:p w14:paraId="23A0B3CA">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default"/>
                <w:b/>
                <w:bCs/>
                <w:szCs w:val="24"/>
                <w:lang w:val="en-US" w:eastAsia="zh-CN"/>
              </w:rPr>
            </w:pPr>
            <w:r>
              <w:rPr>
                <w:rFonts w:ascii="微软雅黑" w:eastAsia="微软雅黑" w:hAnsi="微软雅黑" w:hint="eastAsia"/>
                <w:b/>
                <w:bCs/>
                <w:szCs w:val="24"/>
                <w:lang w:val="en-US" w:eastAsia="zh-CN"/>
              </w:rPr>
              <w:t>涨薪名额</w:t>
            </w:r>
          </w:p>
        </w:tc>
        <w:tc>
          <w:tcPr>
            <w:tcW w:w="1759" w:type="dxa"/>
            <w:tcBorders>
              <w:left w:val="single" w:sz="4" w:space="0" w:color="000000"/>
              <w:bottom w:val="single" w:sz="4" w:space="0" w:color="000000"/>
              <w:right w:val="single" w:sz="4" w:space="0" w:color="000000"/>
            </w:tcBorders>
            <w:shd w:val="clear" w:color="auto" w:fill="auto"/>
            <w:noWrap/>
            <w:vAlign w:val="center"/>
          </w:tcPr>
          <w:p w14:paraId="1BD20E94">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lang w:val="en-US" w:eastAsia="zh-CN"/>
              </w:rPr>
            </w:pPr>
            <w:r>
              <w:rPr>
                <w:rFonts w:ascii="微软雅黑" w:eastAsia="微软雅黑" w:hAnsi="微软雅黑" w:hint="eastAsia"/>
                <w:szCs w:val="24"/>
                <w:lang w:val="en-US" w:eastAsia="zh-CN"/>
              </w:rPr>
              <w:t>70%</w:t>
            </w:r>
          </w:p>
        </w:tc>
        <w:tc>
          <w:tcPr>
            <w:tcW w:w="1867" w:type="dxa"/>
            <w:tcBorders>
              <w:left w:val="single" w:sz="4" w:space="0" w:color="000000"/>
              <w:bottom w:val="single" w:sz="4" w:space="0" w:color="000000"/>
              <w:right w:val="single" w:sz="4" w:space="0" w:color="000000"/>
            </w:tcBorders>
            <w:shd w:val="clear" w:color="auto" w:fill="auto"/>
            <w:noWrap/>
            <w:vAlign w:val="center"/>
          </w:tcPr>
          <w:p w14:paraId="39E2C68D">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lang w:val="en-US" w:eastAsia="zh-CN"/>
              </w:rPr>
            </w:pPr>
            <w:r>
              <w:rPr>
                <w:rFonts w:ascii="微软雅黑" w:eastAsia="微软雅黑" w:hAnsi="微软雅黑" w:hint="eastAsia"/>
                <w:szCs w:val="24"/>
                <w:lang w:val="en-US" w:eastAsia="zh-CN"/>
              </w:rPr>
              <w:t>70%</w:t>
            </w:r>
          </w:p>
        </w:tc>
        <w:tc>
          <w:tcPr>
            <w:tcW w:w="1877" w:type="dxa"/>
            <w:tcBorders>
              <w:left w:val="single" w:sz="4" w:space="0" w:color="000000"/>
              <w:bottom w:val="single" w:sz="4" w:space="0" w:color="000000"/>
              <w:right w:val="single" w:sz="4" w:space="0" w:color="000000"/>
            </w:tcBorders>
            <w:shd w:val="clear" w:color="auto" w:fill="auto"/>
            <w:noWrap/>
            <w:vAlign w:val="center"/>
          </w:tcPr>
          <w:p w14:paraId="5D7FA980">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lang w:val="en-US" w:eastAsia="zh-CN"/>
              </w:rPr>
            </w:pPr>
            <w:r>
              <w:rPr>
                <w:rFonts w:ascii="微软雅黑" w:eastAsia="微软雅黑" w:hAnsi="微软雅黑" w:hint="eastAsia"/>
                <w:szCs w:val="24"/>
                <w:lang w:val="en-US" w:eastAsia="zh-CN"/>
              </w:rPr>
              <w:t>30-40%</w:t>
            </w:r>
          </w:p>
        </w:tc>
        <w:tc>
          <w:tcPr>
            <w:tcW w:w="1572" w:type="dxa"/>
            <w:tcBorders>
              <w:left w:val="single" w:sz="4" w:space="0" w:color="000000"/>
              <w:bottom w:val="single" w:sz="4" w:space="0" w:color="000000"/>
              <w:right w:val="single" w:sz="4" w:space="0" w:color="000000"/>
            </w:tcBorders>
            <w:shd w:val="clear" w:color="auto" w:fill="auto"/>
            <w:noWrap/>
            <w:vAlign w:val="center"/>
          </w:tcPr>
          <w:p w14:paraId="52D045E7">
            <w:pPr>
              <w:pStyle w:val="style0"/>
              <w:keepNext w:val="false"/>
              <w:keepLines w:val="false"/>
              <w:pageBreakBefore w:val="false"/>
              <w:kinsoku/>
              <w:wordWrap/>
              <w:overflowPunct/>
              <w:topLinePunct w:val="false"/>
              <w:autoSpaceDE/>
              <w:autoSpaceDN/>
              <w:bidi w:val="false"/>
              <w:adjustRightInd/>
              <w:snapToGrid w:val="false"/>
              <w:spacing w:lineRule="auto" w:line="240"/>
              <w:jc w:val="center"/>
              <w:textAlignment w:val="auto"/>
              <w:rPr>
                <w:rFonts w:ascii="微软雅黑" w:eastAsia="微软雅黑" w:hAnsi="微软雅黑" w:hint="eastAsia"/>
                <w:szCs w:val="24"/>
                <w:lang w:val="en-US" w:eastAsia="zh-CN"/>
              </w:rPr>
            </w:pPr>
            <w:r>
              <w:rPr>
                <w:rFonts w:ascii="微软雅黑" w:eastAsia="微软雅黑" w:hAnsi="微软雅黑" w:hint="eastAsia"/>
                <w:szCs w:val="24"/>
                <w:lang w:val="en-US" w:eastAsia="zh-CN"/>
              </w:rPr>
              <w:t>30-40%</w:t>
            </w:r>
          </w:p>
        </w:tc>
      </w:tr>
    </w:tbl>
    <w:p w14:paraId="1E4FF121">
      <w:pPr>
        <w:pStyle w:val="style0"/>
        <w:keepNext w:val="false"/>
        <w:keepLines w:val="false"/>
        <w:pageBreakBefore w:val="false"/>
        <w:numPr>
          <w:ilvl w:val="0"/>
          <w:numId w:val="0"/>
        </w:numPr>
        <w:kinsoku/>
        <w:wordWrap/>
        <w:overflowPunct/>
        <w:topLinePunct w:val="false"/>
        <w:autoSpaceDE/>
        <w:autoSpaceDN/>
        <w:bidi w:val="false"/>
        <w:adjustRightInd/>
        <w:snapToGrid w:val="false"/>
        <w:spacing w:lineRule="auto" w:line="240"/>
        <w:textAlignment w:val="auto"/>
        <w:rPr>
          <w:rFonts w:ascii="微软雅黑" w:cs="微软雅黑" w:eastAsia="微软雅黑" w:hAnsi="微软雅黑" w:hint="eastAsia"/>
          <w:b/>
          <w:bCs w:val="false"/>
        </w:rPr>
      </w:pPr>
    </w:p>
    <w:p w14:paraId="1A7BCB77">
      <w:pPr>
        <w:pStyle w:val="style0"/>
        <w:keepNext w:val="false"/>
        <w:keepLines w:val="false"/>
        <w:pageBreakBefore w:val="false"/>
        <w:numPr>
          <w:ilvl w:val="0"/>
          <w:numId w:val="2"/>
        </w:numPr>
        <w:kinsoku/>
        <w:wordWrap/>
        <w:overflowPunct/>
        <w:topLinePunct w:val="false"/>
        <w:autoSpaceDE/>
        <w:autoSpaceDN/>
        <w:bidi w:val="false"/>
        <w:adjustRightInd/>
        <w:snapToGrid w:val="false"/>
        <w:spacing w:lineRule="auto" w:line="240"/>
        <w:textAlignment w:val="auto"/>
        <w:rPr>
          <w:rFonts w:ascii="微软雅黑" w:cs="微软雅黑" w:eastAsia="微软雅黑" w:hAnsi="微软雅黑" w:hint="eastAsia"/>
          <w:b/>
          <w:bCs w:val="false"/>
        </w:rPr>
      </w:pPr>
      <w:r>
        <w:rPr>
          <w:rFonts w:ascii="微软雅黑" w:cs="微软雅黑" w:eastAsia="微软雅黑" w:hAnsi="微软雅黑" w:hint="eastAsia"/>
          <w:b/>
          <w:bCs w:val="false"/>
          <w:szCs w:val="24"/>
          <w:lang w:val="en-US" w:eastAsia="zh-CN"/>
        </w:rPr>
        <w:t>人才发展快速通道——IDP</w:t>
      </w:r>
    </w:p>
    <w:p w14:paraId="3692D998">
      <w:pPr>
        <w:pStyle w:val="style0"/>
        <w:keepNext w:val="false"/>
        <w:keepLines w:val="false"/>
        <w:pageBreakBefore w:val="false"/>
        <w:numPr>
          <w:ilvl w:val="0"/>
          <w:numId w:val="0"/>
        </w:numPr>
        <w:kinsoku/>
        <w:wordWrap/>
        <w:overflowPunct/>
        <w:topLinePunct w:val="false"/>
        <w:autoSpaceDE/>
        <w:autoSpaceDN/>
        <w:bidi w:val="false"/>
        <w:adjustRightInd/>
        <w:snapToGrid w:val="false"/>
        <w:spacing w:lineRule="auto" w:line="240"/>
        <w:textAlignment w:val="auto"/>
        <w:rPr>
          <w:rFonts w:ascii="微软雅黑" w:cs="微软雅黑" w:eastAsia="微软雅黑" w:hAnsi="微软雅黑" w:hint="default"/>
          <w:b/>
          <w:bCs w:val="false"/>
          <w:lang w:val="en-US"/>
        </w:rPr>
      </w:pPr>
      <w:r>
        <w:rPr>
          <w:rFonts w:ascii="微软雅黑" w:cs="微软雅黑" w:eastAsia="微软雅黑" w:hAnsi="微软雅黑" w:hint="eastAsia"/>
          <w:b/>
          <w:bCs w:val="false"/>
          <w:szCs w:val="24"/>
          <w:lang w:val="en-US" w:eastAsia="zh-CN"/>
        </w:rPr>
        <w:t>实施对象：</w:t>
      </w:r>
      <w:r>
        <w:rPr>
          <w:rFonts w:ascii="微软雅黑" w:cs="微软雅黑" w:eastAsia="微软雅黑" w:hAnsi="微软雅黑" w:hint="eastAsia"/>
          <w:b w:val="false"/>
          <w:bCs/>
          <w:szCs w:val="24"/>
          <w:lang w:val="en-US" w:eastAsia="zh-CN"/>
        </w:rPr>
        <w:t>任职于关键岗位的关键人才</w:t>
      </w:r>
    </w:p>
    <w:p w14:paraId="4C21CE56">
      <w:pPr>
        <w:pStyle w:val="style0"/>
        <w:keepNext w:val="false"/>
        <w:keepLines w:val="false"/>
        <w:pageBreakBefore w:val="false"/>
        <w:numPr>
          <w:ilvl w:val="0"/>
          <w:numId w:val="0"/>
        </w:numPr>
        <w:kinsoku/>
        <w:wordWrap/>
        <w:overflowPunct/>
        <w:topLinePunct w:val="false"/>
        <w:autoSpaceDE/>
        <w:autoSpaceDN/>
        <w:bidi w:val="false"/>
        <w:adjustRightInd/>
        <w:snapToGrid w:val="false"/>
        <w:spacing w:lineRule="auto" w:line="240"/>
        <w:textAlignment w:val="auto"/>
        <w:rPr>
          <w:rFonts w:ascii="微软雅黑" w:cs="微软雅黑" w:eastAsia="微软雅黑" w:hAnsi="微软雅黑" w:hint="eastAsia"/>
          <w:b w:val="false"/>
          <w:bCs/>
          <w:lang w:val="en-US" w:eastAsia="zh-CN"/>
        </w:rPr>
      </w:pPr>
      <w:r>
        <w:rPr>
          <w:rFonts w:ascii="微软雅黑" w:cs="微软雅黑" w:eastAsia="微软雅黑" w:hAnsi="微软雅黑" w:hint="eastAsia"/>
          <w:b/>
          <w:bCs w:val="false"/>
          <w:lang w:val="en-US" w:eastAsia="zh-CN"/>
        </w:rPr>
        <w:t>实施目标：</w:t>
      </w:r>
      <w:r>
        <w:rPr>
          <w:rFonts w:ascii="微软雅黑" w:cs="微软雅黑" w:eastAsia="微软雅黑" w:hAnsi="微软雅黑" w:hint="eastAsia"/>
          <w:b w:val="false"/>
          <w:bCs/>
          <w:lang w:val="en-US" w:eastAsia="zh-CN"/>
        </w:rPr>
        <w:t>短期内高效达成关键岗位个性化人才培养</w:t>
      </w:r>
    </w:p>
    <w:p w14:paraId="226931F7">
      <w:pPr>
        <w:pStyle w:val="style0"/>
        <w:keepNext w:val="false"/>
        <w:keepLines w:val="false"/>
        <w:pageBreakBefore w:val="false"/>
        <w:numPr>
          <w:ilvl w:val="0"/>
          <w:numId w:val="0"/>
        </w:numPr>
        <w:kinsoku/>
        <w:wordWrap/>
        <w:overflowPunct/>
        <w:topLinePunct w:val="false"/>
        <w:autoSpaceDE/>
        <w:autoSpaceDN/>
        <w:bidi w:val="false"/>
        <w:adjustRightInd/>
        <w:snapToGrid w:val="false"/>
        <w:spacing w:lineRule="auto" w:line="240"/>
        <w:textAlignment w:val="auto"/>
        <w:rPr>
          <w:rFonts w:ascii="微软雅黑" w:cs="微软雅黑" w:eastAsia="微软雅黑" w:hAnsi="微软雅黑" w:hint="default"/>
          <w:b w:val="false"/>
          <w:bCs/>
          <w:lang w:val="en-US" w:eastAsia="zh-CN"/>
        </w:rPr>
      </w:pPr>
      <w:r>
        <w:rPr>
          <w:rFonts w:ascii="微软雅黑" w:cs="微软雅黑" w:eastAsia="微软雅黑" w:hAnsi="微软雅黑" w:hint="eastAsia"/>
          <w:b/>
          <w:bCs w:val="false"/>
          <w:lang w:val="en-US" w:eastAsia="zh-CN"/>
        </w:rPr>
        <w:t>时间规划：</w:t>
      </w:r>
      <w:r>
        <w:rPr>
          <w:rFonts w:ascii="微软雅黑" w:cs="微软雅黑" w:eastAsia="微软雅黑" w:hAnsi="微软雅黑" w:hint="default"/>
          <w:b w:val="false"/>
          <w:bCs/>
          <w:lang w:val="en-US" w:eastAsia="zh-CN"/>
        </w:rPr>
        <w:t>最低不少于6个月，最长不超过24个月</w:t>
      </w:r>
    </w:p>
    <w:p w14:paraId="4D150F6A">
      <w:pPr>
        <w:pStyle w:val="style0"/>
        <w:keepNext w:val="false"/>
        <w:keepLines w:val="false"/>
        <w:pageBreakBefore w:val="false"/>
        <w:numPr>
          <w:ilvl w:val="0"/>
          <w:numId w:val="0"/>
        </w:numPr>
        <w:kinsoku/>
        <w:wordWrap/>
        <w:overflowPunct/>
        <w:topLinePunct w:val="false"/>
        <w:autoSpaceDE/>
        <w:autoSpaceDN/>
        <w:bidi w:val="false"/>
        <w:adjustRightInd/>
        <w:snapToGrid w:val="false"/>
        <w:spacing w:lineRule="auto" w:line="240"/>
        <w:textAlignment w:val="auto"/>
        <w:rPr>
          <w:rFonts w:ascii="微软雅黑" w:cs="微软雅黑" w:eastAsia="微软雅黑" w:hAnsi="微软雅黑" w:hint="default"/>
          <w:b w:val="false"/>
          <w:bCs/>
          <w:lang w:val="en-US" w:eastAsia="zh-CN"/>
        </w:rPr>
      </w:pPr>
      <w:r>
        <w:rPr>
          <w:rFonts w:ascii="微软雅黑" w:cs="微软雅黑" w:eastAsia="微软雅黑" w:hAnsi="微软雅黑" w:hint="eastAsia"/>
          <w:b/>
          <w:bCs w:val="false"/>
          <w:lang w:val="en-US" w:eastAsia="zh-CN"/>
        </w:rPr>
        <w:t>实施结果：</w:t>
      </w:r>
      <w:r>
        <w:rPr>
          <w:rFonts w:ascii="微软雅黑" w:cs="微软雅黑" w:eastAsia="微软雅黑" w:hAnsi="微软雅黑" w:hint="eastAsia"/>
          <w:b w:val="false"/>
          <w:bCs/>
          <w:lang w:val="en-US" w:eastAsia="zh-CN"/>
        </w:rPr>
        <w:t>职级晋升/涨薪/转岗至关键目标岗位</w:t>
      </w:r>
    </w:p>
    <w:p w14:paraId="4F516A26">
      <w:pPr>
        <w:pStyle w:val="style0"/>
        <w:keepNext w:val="false"/>
        <w:keepLines w:val="false"/>
        <w:pageBreakBefore w:val="false"/>
        <w:numPr>
          <w:ilvl w:val="0"/>
          <w:numId w:val="0"/>
        </w:numPr>
        <w:kinsoku/>
        <w:wordWrap/>
        <w:overflowPunct/>
        <w:topLinePunct w:val="false"/>
        <w:autoSpaceDE/>
        <w:autoSpaceDN/>
        <w:bidi w:val="false"/>
        <w:adjustRightInd/>
        <w:snapToGrid w:val="false"/>
        <w:spacing w:lineRule="auto" w:line="240"/>
        <w:ind w:leftChars="0"/>
        <w:textAlignment w:val="auto"/>
        <w:rPr>
          <w:rFonts w:ascii="微软雅黑" w:eastAsia="微软雅黑" w:hAnsi="微软雅黑" w:hint="default"/>
          <w:b/>
          <w:szCs w:val="24"/>
          <w:lang w:val="en-US" w:eastAsia="zh-CN"/>
        </w:rPr>
      </w:pPr>
    </w:p>
    <w:p w14:paraId="6F4E1048">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b/>
          <w:szCs w:val="24"/>
        </w:rPr>
      </w:pPr>
      <w:r>
        <w:rPr>
          <w:rFonts w:ascii="微软雅黑" w:eastAsia="微软雅黑" w:hAnsi="微软雅黑" w:hint="eastAsia"/>
          <w:b/>
          <w:szCs w:val="24"/>
        </w:rPr>
        <w:t>五</w:t>
      </w:r>
      <w:r>
        <w:rPr>
          <w:rFonts w:ascii="微软雅黑" w:eastAsia="微软雅黑" w:hAnsi="微软雅黑"/>
          <w:b/>
          <w:szCs w:val="24"/>
        </w:rPr>
        <w:t>、</w:t>
      </w:r>
      <w:r>
        <w:rPr>
          <w:rFonts w:ascii="微软雅黑" w:eastAsia="微软雅黑" w:hAnsi="微软雅黑" w:hint="eastAsia"/>
          <w:b/>
          <w:szCs w:val="24"/>
        </w:rPr>
        <w:t>应聘</w:t>
      </w:r>
      <w:r>
        <w:rPr>
          <w:rFonts w:ascii="微软雅黑" w:eastAsia="微软雅黑" w:hAnsi="微软雅黑"/>
          <w:b/>
          <w:szCs w:val="24"/>
        </w:rPr>
        <w:t>流程</w:t>
      </w:r>
    </w:p>
    <w:p w14:paraId="6FC9204D">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eastAsia"/>
          <w:szCs w:val="24"/>
        </w:rPr>
      </w:pPr>
      <w:r>
        <w:rPr>
          <w:rFonts w:ascii="微软雅黑" w:eastAsia="微软雅黑" w:hAnsi="微软雅黑" w:hint="eastAsia"/>
          <w:szCs w:val="24"/>
          <w:lang w:val="en-US" w:eastAsia="zh-CN"/>
        </w:rPr>
        <w:t>线下应聘：</w:t>
      </w:r>
      <w:r>
        <w:rPr>
          <w:rFonts w:ascii="微软雅黑" w:eastAsia="微软雅黑" w:hAnsi="微软雅黑" w:hint="eastAsia"/>
          <w:szCs w:val="24"/>
        </w:rPr>
        <w:t>宣讲</w:t>
      </w:r>
      <w:r>
        <w:rPr>
          <w:rFonts w:ascii="微软雅黑" w:eastAsia="微软雅黑" w:hAnsi="微软雅黑" w:hint="eastAsia"/>
          <w:szCs w:val="24"/>
          <w:lang w:val="en-US" w:eastAsia="zh-CN"/>
        </w:rPr>
        <w:t>答疑</w:t>
      </w:r>
      <w:r>
        <w:rPr>
          <w:rFonts w:ascii="微软雅黑" w:eastAsia="微软雅黑" w:hAnsi="微软雅黑" w:hint="eastAsia"/>
          <w:szCs w:val="24"/>
          <w:lang w:eastAsia="zh-CN"/>
        </w:rPr>
        <w:t>——</w:t>
      </w:r>
      <w:r>
        <w:rPr>
          <w:rFonts w:ascii="微软雅黑" w:eastAsia="微软雅黑" w:hAnsi="微软雅黑"/>
          <w:szCs w:val="24"/>
        </w:rPr>
        <w:t>简历</w:t>
      </w:r>
      <w:r>
        <w:rPr>
          <w:rFonts w:ascii="微软雅黑" w:eastAsia="微软雅黑" w:hAnsi="微软雅黑" w:hint="eastAsia"/>
          <w:szCs w:val="24"/>
        </w:rPr>
        <w:t>投递</w:t>
      </w:r>
      <w:r>
        <w:rPr>
          <w:rFonts w:ascii="微软雅黑" w:eastAsia="微软雅黑" w:hAnsi="微软雅黑" w:hint="eastAsia"/>
          <w:szCs w:val="24"/>
          <w:lang w:eastAsia="zh-CN"/>
        </w:rPr>
        <w:t>——</w:t>
      </w:r>
      <w:r>
        <w:rPr>
          <w:rFonts w:ascii="微软雅黑" w:eastAsia="微软雅黑" w:hAnsi="微软雅黑" w:hint="eastAsia"/>
          <w:szCs w:val="24"/>
        </w:rPr>
        <w:t>简历筛选</w:t>
      </w:r>
      <w:r>
        <w:rPr>
          <w:rFonts w:ascii="微软雅黑" w:eastAsia="微软雅黑" w:hAnsi="微软雅黑" w:hint="eastAsia"/>
          <w:szCs w:val="24"/>
          <w:lang w:eastAsia="zh-CN"/>
        </w:rPr>
        <w:t>——</w:t>
      </w:r>
      <w:r>
        <w:rPr>
          <w:rFonts w:ascii="微软雅黑" w:eastAsia="微软雅黑" w:hAnsi="微软雅黑" w:hint="eastAsia"/>
          <w:szCs w:val="24"/>
          <w:lang w:val="en-US" w:eastAsia="zh-CN"/>
        </w:rPr>
        <w:t>初/复</w:t>
      </w:r>
      <w:r>
        <w:rPr>
          <w:rFonts w:ascii="微软雅黑" w:eastAsia="微软雅黑" w:hAnsi="微软雅黑"/>
          <w:szCs w:val="24"/>
        </w:rPr>
        <w:t>试</w:t>
      </w:r>
      <w:r>
        <w:rPr>
          <w:rFonts w:ascii="微软雅黑" w:eastAsia="微软雅黑" w:hAnsi="微软雅黑" w:hint="eastAsia"/>
          <w:szCs w:val="24"/>
          <w:lang w:eastAsia="zh-CN"/>
        </w:rPr>
        <w:t>——</w:t>
      </w:r>
      <w:r>
        <w:rPr>
          <w:rFonts w:ascii="微软雅黑" w:eastAsia="微软雅黑" w:hAnsi="微软雅黑" w:hint="eastAsia"/>
          <w:szCs w:val="24"/>
          <w:lang w:val="en-US" w:eastAsia="zh-CN"/>
        </w:rPr>
        <w:t>性格测评——</w:t>
      </w:r>
      <w:r>
        <w:rPr>
          <w:rFonts w:ascii="微软雅黑" w:eastAsia="微软雅黑" w:hAnsi="微软雅黑" w:hint="eastAsia"/>
          <w:szCs w:val="24"/>
        </w:rPr>
        <w:t>发放</w:t>
      </w:r>
      <w:r>
        <w:rPr>
          <w:rFonts w:ascii="微软雅黑" w:eastAsia="微软雅黑" w:hAnsi="微软雅黑"/>
          <w:szCs w:val="24"/>
        </w:rPr>
        <w:t>录用</w:t>
      </w:r>
      <w:r>
        <w:rPr>
          <w:rFonts w:ascii="微软雅黑" w:eastAsia="微软雅黑" w:hAnsi="微软雅黑" w:hint="eastAsia"/>
          <w:szCs w:val="24"/>
        </w:rPr>
        <w:t>offer</w:t>
      </w:r>
    </w:p>
    <w:p w14:paraId="001D06F4">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default"/>
          <w:szCs w:val="24"/>
          <w:lang w:val="en-US" w:eastAsia="zh-CN"/>
        </w:rPr>
      </w:pPr>
      <w:r>
        <w:rPr>
          <w:rFonts w:ascii="微软雅黑" w:eastAsia="微软雅黑" w:hAnsi="微软雅黑" w:hint="eastAsia"/>
          <w:szCs w:val="24"/>
          <w:lang w:val="en-US" w:eastAsia="zh-CN"/>
        </w:rPr>
        <w:t>线上应聘：简历投递——简历筛选——初/复</w:t>
      </w:r>
      <w:r>
        <w:rPr>
          <w:rFonts w:ascii="微软雅黑" w:eastAsia="微软雅黑" w:hAnsi="微软雅黑"/>
          <w:szCs w:val="24"/>
        </w:rPr>
        <w:t>试</w:t>
      </w:r>
      <w:r>
        <w:rPr>
          <w:rFonts w:ascii="微软雅黑" w:eastAsia="微软雅黑" w:hAnsi="微软雅黑" w:hint="eastAsia"/>
          <w:szCs w:val="24"/>
          <w:lang w:val="en-US" w:eastAsia="zh-CN"/>
        </w:rPr>
        <w:t>——性格测评——发放录用offer</w:t>
      </w:r>
    </w:p>
    <w:p w14:paraId="097B0B3F">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eastAsia"/>
          <w:b/>
          <w:szCs w:val="24"/>
        </w:rPr>
      </w:pPr>
    </w:p>
    <w:p w14:paraId="6A2E33B1">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b/>
          <w:szCs w:val="24"/>
        </w:rPr>
      </w:pPr>
      <w:r>
        <w:rPr>
          <w:rFonts w:ascii="微软雅黑" w:eastAsia="微软雅黑" w:hAnsi="微软雅黑" w:hint="eastAsia"/>
          <w:b/>
          <w:szCs w:val="24"/>
        </w:rPr>
        <w:t>六</w:t>
      </w:r>
      <w:r>
        <w:rPr>
          <w:rFonts w:ascii="微软雅黑" w:eastAsia="微软雅黑" w:hAnsi="微软雅黑"/>
          <w:b/>
          <w:szCs w:val="24"/>
        </w:rPr>
        <w:t>、</w:t>
      </w:r>
      <w:r>
        <w:rPr>
          <w:rFonts w:ascii="微软雅黑" w:eastAsia="微软雅黑" w:hAnsi="微软雅黑" w:hint="eastAsia"/>
          <w:b/>
          <w:szCs w:val="24"/>
        </w:rPr>
        <w:t>联系方式</w:t>
      </w:r>
    </w:p>
    <w:p w14:paraId="26C61966">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eastAsia"/>
          <w:b/>
          <w:bCs/>
          <w:szCs w:val="21"/>
          <w:lang w:val="en-US" w:eastAsia="zh-CN"/>
        </w:rPr>
      </w:pPr>
      <w:r>
        <w:rPr>
          <w:rFonts w:ascii="微软雅黑" w:eastAsia="微软雅黑" w:hAnsi="微软雅黑" w:hint="eastAsia"/>
          <w:b/>
          <w:bCs/>
          <w:szCs w:val="21"/>
          <w:lang w:val="en-US" w:eastAsia="zh-CN"/>
        </w:rPr>
        <w:t>招聘官网投递：</w:t>
      </w:r>
    </w:p>
    <w:p w14:paraId="332DEC1F">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Times New Roman" w:cs="Times New Roman" w:eastAsia="宋体" w:hAnsi="Times New Roman" w:hint="default"/>
          <w:sz w:val="24"/>
          <w:szCs w:val="24"/>
        </w:rPr>
      </w:pPr>
      <w:r>
        <w:rPr>
          <w:rFonts w:ascii="微软雅黑" w:eastAsia="微软雅黑" w:hAnsi="微软雅黑" w:hint="eastAsia"/>
          <w:szCs w:val="21"/>
          <w:lang w:val="en-US" w:eastAsia="zh-CN"/>
        </w:rPr>
        <w:fldChar w:fldCharType="begin"/>
      </w:r>
      <w:r>
        <w:rPr>
          <w:rFonts w:ascii="微软雅黑" w:eastAsia="微软雅黑" w:hAnsi="微软雅黑" w:hint="eastAsia"/>
          <w:szCs w:val="21"/>
          <w:lang w:val="en-US" w:eastAsia="zh-CN"/>
        </w:rPr>
        <w:instrText xml:space="preserve"> HYPERLINK "mailto:yangyuqin_dc@desay.com" </w:instrText>
      </w:r>
      <w:r>
        <w:rPr>
          <w:rFonts w:ascii="微软雅黑" w:eastAsia="微软雅黑" w:hAnsi="微软雅黑" w:hint="eastAsia"/>
          <w:szCs w:val="21"/>
          <w:lang w:val="en-US" w:eastAsia="zh-CN"/>
        </w:rPr>
        <w:fldChar w:fldCharType="separate"/>
      </w:r>
      <w:r>
        <w:rPr>
          <w:rFonts w:ascii="Times New Roman" w:cs="Times New Roman" w:eastAsia="宋体" w:hAnsi="Times New Roman" w:hint="default"/>
          <w:sz w:val="24"/>
          <w:szCs w:val="24"/>
        </w:rPr>
        <w:t>https://desaydc.zhiye.com/campus</w:t>
      </w:r>
    </w:p>
    <w:p w14:paraId="2F2F65E2">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eastAsia"/>
          <w:b/>
          <w:bCs/>
          <w:szCs w:val="21"/>
          <w:lang w:val="en-US" w:eastAsia="zh-CN"/>
        </w:rPr>
      </w:pPr>
      <w:r>
        <w:rPr>
          <w:rFonts w:ascii="微软雅黑" w:eastAsia="微软雅黑" w:hAnsi="微软雅黑" w:hint="eastAsia"/>
          <w:b/>
          <w:bCs/>
          <w:szCs w:val="21"/>
          <w:lang w:val="en-US" w:eastAsia="zh-CN"/>
        </w:rPr>
        <w:t>简历投递二维码：</w:t>
      </w:r>
    </w:p>
    <w:p w14:paraId="021C8BAD">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eastAsia"/>
          <w:szCs w:val="21"/>
          <w:lang w:val="en-US" w:eastAsia="zh-CN"/>
        </w:rPr>
      </w:pPr>
      <w:r>
        <w:rPr>
          <w:rFonts w:ascii="微软雅黑" w:eastAsia="微软雅黑" w:hAnsi="微软雅黑" w:hint="default"/>
          <w:szCs w:val="21"/>
          <w:lang w:val="en-US" w:eastAsia="zh-CN"/>
        </w:rPr>
        <w:drawing>
          <wp:inline distL="0" distT="0" distB="0" distR="0">
            <wp:extent cx="902969" cy="902969"/>
            <wp:effectExtent l="0" t="0" r="11430" b="11430"/>
            <wp:docPr id="1026" name="图片 1" descr="网申-首页"/>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图片 1"/>
                    <pic:cNvPicPr/>
                  </pic:nvPicPr>
                  <pic:blipFill>
                    <a:blip r:embed="rId2" cstate="print"/>
                    <a:srcRect l="0" t="0" r="0" b="0"/>
                    <a:stretch/>
                  </pic:blipFill>
                  <pic:spPr>
                    <a:xfrm rot="0">
                      <a:off x="0" y="0"/>
                      <a:ext cx="902969" cy="902969"/>
                    </a:xfrm>
                    <a:prstGeom prst="rect"/>
                  </pic:spPr>
                </pic:pic>
              </a:graphicData>
            </a:graphic>
          </wp:inline>
        </w:drawing>
      </w:r>
      <w:bookmarkStart w:id="0" w:name="_GoBack"/>
      <w:bookmarkEnd w:id="0"/>
    </w:p>
    <w:p w14:paraId="04A3EC80">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eastAsia"/>
          <w:b/>
          <w:bCs/>
          <w:szCs w:val="21"/>
          <w:lang w:val="en-US" w:eastAsia="zh-CN"/>
        </w:rPr>
      </w:pPr>
      <w:r>
        <w:rPr>
          <w:rFonts w:ascii="微软雅黑" w:eastAsia="微软雅黑" w:hAnsi="微软雅黑" w:hint="eastAsia"/>
          <w:b/>
          <w:bCs/>
          <w:szCs w:val="21"/>
          <w:lang w:val="en-US" w:eastAsia="zh-CN"/>
        </w:rPr>
        <w:t>邮箱投递：</w:t>
      </w:r>
    </w:p>
    <w:p w14:paraId="07A25D89">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Times New Roman" w:cs="Times New Roman" w:eastAsia="宋体" w:hAnsi="Times New Roman" w:hint="default"/>
          <w:color w:val="ff0000"/>
          <w:sz w:val="24"/>
          <w:szCs w:val="24"/>
        </w:rPr>
      </w:pPr>
      <w:r>
        <w:rPr>
          <w:rFonts w:ascii="Times New Roman" w:cs="Times New Roman" w:eastAsia="宋体" w:hAnsi="Times New Roman" w:hint="default"/>
          <w:color w:val="ff0000"/>
          <w:sz w:val="24"/>
          <w:szCs w:val="24"/>
        </w:rPr>
        <w:t>yangyuqin_dc@desay.com</w:t>
      </w:r>
    </w:p>
    <w:p w14:paraId="155464CD">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Times New Roman" w:cs="Times New Roman" w:eastAsia="宋体" w:hAnsi="Times New Roman" w:hint="default"/>
          <w:sz w:val="24"/>
          <w:szCs w:val="24"/>
        </w:rPr>
      </w:pPr>
      <w:r>
        <w:rPr>
          <w:rFonts w:ascii="Times New Roman" w:cs="Times New Roman" w:eastAsia="宋体" w:hAnsi="Times New Roman" w:hint="default"/>
          <w:sz w:val="24"/>
          <w:szCs w:val="24"/>
        </w:rPr>
        <w:t>lupeiqi_dc@desay.com</w:t>
      </w:r>
    </w:p>
    <w:p w14:paraId="63275BCA">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eastAsia"/>
          <w:szCs w:val="21"/>
          <w:lang w:val="en-US" w:eastAsia="zh-CN"/>
        </w:rPr>
      </w:pPr>
      <w:r>
        <w:rPr>
          <w:rFonts w:ascii="微软雅黑" w:eastAsia="微软雅黑" w:hAnsi="微软雅黑" w:hint="eastAsia"/>
          <w:b/>
          <w:szCs w:val="24"/>
          <w:lang w:val="en-US" w:eastAsia="zh-CN"/>
        </w:rPr>
        <w:t>七、公司地址</w:t>
      </w:r>
    </w:p>
    <w:p w14:paraId="76FB4F42">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eastAsia"/>
          <w:szCs w:val="21"/>
          <w:lang w:val="en-US" w:eastAsia="zh-CN"/>
        </w:rPr>
      </w:pPr>
      <w:r>
        <w:rPr>
          <w:rFonts w:ascii="微软雅黑" w:eastAsia="微软雅黑" w:hAnsi="微软雅黑" w:hint="eastAsia"/>
          <w:szCs w:val="21"/>
          <w:lang w:val="en-US" w:eastAsia="zh-CN"/>
        </w:rPr>
        <w:t xml:space="preserve">惠州仲恺：广东省惠州市仲恺高新技术产业开发区15号小区 </w:t>
      </w:r>
    </w:p>
    <w:p w14:paraId="089FD3D6">
      <w:pPr>
        <w:pStyle w:val="style0"/>
        <w:keepNext w:val="false"/>
        <w:keepLines w:val="false"/>
        <w:widowControl/>
        <w:suppressLineNumbers w:val="false"/>
        <w:spacing w:lineRule="auto" w:line="240"/>
        <w:jc w:val="left"/>
        <w:rPr>
          <w:rFonts w:ascii="微软雅黑" w:eastAsia="微软雅黑" w:hAnsi="微软雅黑" w:hint="eastAsia"/>
          <w:szCs w:val="21"/>
          <w:lang w:val="en-US" w:eastAsia="zh-CN"/>
        </w:rPr>
      </w:pPr>
      <w:r>
        <w:rPr>
          <w:rFonts w:ascii="微软雅黑" w:eastAsia="微软雅黑" w:hAnsi="微软雅黑" w:hint="eastAsia"/>
          <w:szCs w:val="21"/>
          <w:lang w:val="en-US" w:eastAsia="zh-CN"/>
        </w:rPr>
        <w:t xml:space="preserve">惠州惠南：广东省惠州市惠南高新科技产业园广泰路12号 </w:t>
      </w:r>
    </w:p>
    <w:p w14:paraId="5681AB9B">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eastAsia"/>
          <w:b/>
          <w:szCs w:val="24"/>
          <w:lang w:val="en-US" w:eastAsia="zh-CN"/>
        </w:rPr>
      </w:pPr>
      <w:r>
        <w:rPr>
          <w:rFonts w:ascii="微软雅黑" w:eastAsia="微软雅黑" w:hAnsi="微软雅黑" w:hint="eastAsia"/>
          <w:b/>
          <w:szCs w:val="24"/>
          <w:lang w:val="en-US" w:eastAsia="zh-CN"/>
        </w:rPr>
        <w:t>八、公司公众号</w:t>
      </w:r>
    </w:p>
    <w:p w14:paraId="229E5010">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eastAsia"/>
          <w:b/>
          <w:szCs w:val="24"/>
          <w:lang w:val="en-US" w:eastAsia="zh-CN"/>
        </w:rPr>
      </w:pPr>
      <w:r>
        <w:rPr/>
        <w:drawing>
          <wp:inline distL="0" distT="0" distB="0" distR="0">
            <wp:extent cx="1775460" cy="1775460"/>
            <wp:effectExtent l="0" t="0" r="7620" b="7620"/>
            <wp:docPr id="1027" name="图片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3" cstate="print"/>
                    <a:srcRect l="0" t="0" r="0" b="0"/>
                    <a:stretch/>
                  </pic:blipFill>
                  <pic:spPr>
                    <a:xfrm rot="0">
                      <a:off x="0" y="0"/>
                      <a:ext cx="1775460" cy="1775460"/>
                    </a:xfrm>
                    <a:prstGeom prst="rect"/>
                    <a:ln>
                      <a:noFill/>
                    </a:ln>
                  </pic:spPr>
                </pic:pic>
              </a:graphicData>
            </a:graphic>
          </wp:inline>
        </w:drawing>
      </w:r>
      <w:r>
        <w:rPr>
          <w:rFonts w:ascii="微软雅黑" w:eastAsia="微软雅黑" w:hAnsi="微软雅黑" w:hint="eastAsia"/>
          <w:b/>
          <w:szCs w:val="24"/>
          <w:lang w:val="en-US" w:eastAsia="zh-CN"/>
        </w:rPr>
        <w:br w:type="page"/>
      </w:r>
    </w:p>
    <w:p w14:paraId="169881E6">
      <w:pPr>
        <w:pStyle w:val="style0"/>
        <w:keepNext w:val="false"/>
        <w:keepLines w:val="false"/>
        <w:pageBreakBefore w:val="false"/>
        <w:kinsoku/>
        <w:wordWrap/>
        <w:overflowPunct/>
        <w:topLinePunct w:val="false"/>
        <w:autoSpaceDE/>
        <w:autoSpaceDN/>
        <w:bidi w:val="false"/>
        <w:adjustRightInd/>
        <w:snapToGrid w:val="false"/>
        <w:spacing w:lineRule="auto" w:line="240"/>
        <w:textAlignment w:val="auto"/>
        <w:rPr>
          <w:rFonts w:ascii="微软雅黑" w:eastAsia="微软雅黑" w:hAnsi="微软雅黑" w:hint="eastAsia"/>
          <w:szCs w:val="21"/>
          <w:lang w:val="en-US" w:eastAsia="zh-CN"/>
        </w:rPr>
      </w:pPr>
      <w:r>
        <w:rPr>
          <w:rFonts w:ascii="微软雅黑" w:eastAsia="微软雅黑" w:hAnsi="微软雅黑" w:hint="eastAsia"/>
          <w:szCs w:val="21"/>
          <w:lang w:val="en-US" w:eastAsia="zh-CN"/>
        </w:rPr>
        <w:fldChar w:fldCharType="end"/>
      </w:r>
    </w:p>
    <w:sectPr>
      <w:pgSz w:w="11906" w:h="16838" w:orient="portrait"/>
      <w:pgMar w:top="1440" w:right="1247" w:bottom="1440" w:left="1701" w:header="851" w:footer="992" w:gutter="0"/>
      <w:pgBorders w:zOrder="front" w:display="allPages" w:offsetFrom="text">
        <w:top w:val="none" w:sz="0" w:space="0" w:color="auto"/>
        <w:left w:val="none" w:sz="0" w:space="0" w:color="auto"/>
        <w:bottom w:val="none" w:sz="0" w:space="0" w:color="auto"/>
        <w:right w:val="none" w:sz="0" w:space="0" w:color="auto"/>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20007A87" w:usb1="80000000" w:usb2="00000008" w:usb3="00000000" w:csb0="000001FF" w:csb1="00000000"/>
  </w:font>
  <w:font w:name="宋体">
    <w:altName w:val="宋体"/>
    <w:panose1 w:val="02010600030001010101"/>
    <w:charset w:val="86"/>
    <w:family w:val="auto"/>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000247B" w:usb2="00000009" w:usb3="00000000" w:csb0="200001FF" w:csb1="00000000"/>
  </w:font>
  <w:font w:name="等线">
    <w:altName w:val="等线"/>
    <w:panose1 w:val="02010600030001010101"/>
    <w:charset w:val="86"/>
    <w:family w:val="auto"/>
    <w:pitch w:val="default"/>
    <w:sig w:usb0="A00002BF" w:usb1="38CF7CFA" w:usb2="00000016" w:usb3="00000000" w:csb0="0004000F" w:csb1="00000000"/>
  </w:font>
  <w:font w:name="微软雅黑">
    <w:altName w:val="微软雅黑"/>
    <w:panose1 w:val="020b0503020002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96D73BB7"/>
    <w:lvl w:ilvl="0">
      <w:start w:val="2"/>
      <w:numFmt w:val="chineseCounting"/>
      <w:suff w:val="nothing"/>
      <w:lvlText w:val="%1、"/>
      <w:lvlJc w:val="left"/>
      <w:pPr/>
      <w:rPr>
        <w:rFonts w:hint="eastAsia"/>
      </w:rPr>
    </w:lvl>
  </w:abstractNum>
  <w:abstractNum w:abstractNumId="1">
    <w:nsid w:val="00000001"/>
    <w:multiLevelType w:val="singleLevel"/>
    <w:tmpl w:val="497212DC"/>
    <w:lvl w:ilvl="0">
      <w:start w:val="2"/>
      <w:numFmt w:val="decimal"/>
      <w:suff w:val="nothing"/>
      <w:lvlText w:val="%1、"/>
      <w:lvlJc w:val="left"/>
      <w:pPr/>
    </w:lvl>
  </w:abstractNum>
  <w:num w:numId="1">
    <w:abstractNumId w:val="0"/>
  </w:num>
  <w:num w:numId="2">
    <w:abstractNumId w:val="1"/>
  </w:num>
</w:numbering>
</file>

<file path=word/settings.xml><?xml version="1.0" encoding="utf-8"?>
<w:settings xmlns:w="http://schemas.openxmlformats.org/wordprocessingml/2006/main" xmlns:r="http://schemas.openxmlformats.org/officeDocument/2006/relationships" xmlns:m="http://schemas.openxmlformats.org/officeDocument/2006/math">
  <w:zoom w:percent="9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0"/>
    <w:qFormat/>
    <w:uiPriority w:val="0"/>
    <w:pPr>
      <w:widowControl w:val="false"/>
      <w:jc w:val="both"/>
    </w:pPr>
    <w:rPr>
      <w:rFonts w:ascii="等线" w:cs="宋体" w:eastAsia="等线" w:hAnsi="等线"/>
      <w:kern w:val="2"/>
      <w:sz w:val="21"/>
      <w:szCs w:val="22"/>
      <w:lang w:val="en-US" w:bidi="ar-SA" w:eastAsia="zh-CN"/>
    </w:rPr>
  </w:style>
  <w:style w:type="paragraph" w:styleId="style3">
    <w:name w:val="heading 3"/>
    <w:basedOn w:val="style0"/>
    <w:next w:val="style0"/>
    <w:qFormat/>
    <w:uiPriority w:val="9"/>
    <w:pPr>
      <w:spacing w:beforeAutospacing="true" w:afterAutospacing="true"/>
      <w:jc w:val="left"/>
      <w:outlineLvl w:val="2"/>
    </w:pPr>
    <w:rPr>
      <w:rFonts w:ascii="宋体" w:cs="Times New Roman" w:eastAsia="宋体" w:hAnsi="宋体" w:hint="eastAsia"/>
      <w:b/>
      <w:kern w:val="0"/>
      <w:sz w:val="27"/>
      <w:szCs w:val="27"/>
    </w:rPr>
  </w:style>
  <w:style w:type="character" w:default="1" w:styleId="style65">
    <w:name w:val="Default Paragraph Font"/>
    <w:next w:val="style65"/>
    <w:qFormat/>
    <w:uiPriority w:val="1"/>
  </w:style>
  <w:style w:type="table" w:default="1" w:styleId="style105">
    <w:name w:val="Normal Table"/>
    <w:next w:val="style105"/>
    <w:qFormat/>
    <w:uiPriority w:val="99"/>
    <w:pPr/>
    <w:rPr/>
    <w:tblPr>
      <w:tblCellMar>
        <w:top w:w="0" w:type="dxa"/>
        <w:left w:w="108" w:type="dxa"/>
        <w:bottom w:w="0" w:type="dxa"/>
        <w:right w:w="108" w:type="dxa"/>
      </w:tblCellMar>
    </w:tblPr>
    <w:tcPr>
      <w:tcBorders/>
    </w:tcPr>
  </w:style>
  <w:style w:type="paragraph" w:styleId="style153">
    <w:name w:val="Balloon Text"/>
    <w:basedOn w:val="style0"/>
    <w:next w:val="style153"/>
    <w:link w:val="style4098"/>
    <w:qFormat/>
    <w:uiPriority w:val="99"/>
    <w:pPr/>
    <w:rPr>
      <w:sz w:val="18"/>
      <w:szCs w:val="18"/>
    </w:rPr>
  </w:style>
  <w:style w:type="paragraph" w:styleId="style32">
    <w:name w:val="footer"/>
    <w:basedOn w:val="style0"/>
    <w:next w:val="style32"/>
    <w:link w:val="style4100"/>
    <w:qFormat/>
    <w:uiPriority w:val="99"/>
    <w:pPr>
      <w:tabs>
        <w:tab w:val="center" w:leader="none" w:pos="4153"/>
        <w:tab w:val="right" w:leader="none" w:pos="8306"/>
      </w:tabs>
      <w:snapToGrid w:val="false"/>
      <w:jc w:val="left"/>
    </w:pPr>
    <w:rPr>
      <w:sz w:val="18"/>
      <w:szCs w:val="18"/>
    </w:rPr>
  </w:style>
  <w:style w:type="paragraph" w:styleId="style31">
    <w:name w:val="header"/>
    <w:basedOn w:val="style0"/>
    <w:next w:val="style31"/>
    <w:link w:val="style4099"/>
    <w:qFormat/>
    <w:uiPriority w:val="99"/>
    <w:pPr>
      <w:pBdr>
        <w:bottom w:val="single" w:sz="6" w:space="1" w:color="auto"/>
      </w:pBdr>
      <w:tabs>
        <w:tab w:val="center" w:leader="none" w:pos="4153"/>
        <w:tab w:val="right" w:leader="none" w:pos="8306"/>
      </w:tabs>
      <w:snapToGrid w:val="false"/>
      <w:jc w:val="center"/>
    </w:pPr>
    <w:rPr>
      <w:sz w:val="18"/>
      <w:szCs w:val="18"/>
    </w:rPr>
  </w:style>
  <w:style w:type="paragraph" w:styleId="style94">
    <w:name w:val="Normal (Web)"/>
    <w:basedOn w:val="style0"/>
    <w:next w:val="style94"/>
    <w:qFormat/>
    <w:uiPriority w:val="99"/>
    <w:pPr/>
    <w:rPr>
      <w:sz w:val="24"/>
    </w:rPr>
  </w:style>
  <w:style w:type="table" w:styleId="style154">
    <w:name w:val="Table Grid"/>
    <w:basedOn w:val="style105"/>
    <w:next w:val="style154"/>
    <w:qFormat/>
    <w:uiPriority w:val="39"/>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character" w:styleId="style87">
    <w:name w:val="Strong"/>
    <w:basedOn w:val="style65"/>
    <w:next w:val="style87"/>
    <w:qFormat/>
    <w:uiPriority w:val="22"/>
    <w:rPr>
      <w:b/>
    </w:rPr>
  </w:style>
  <w:style w:type="character" w:styleId="style86">
    <w:name w:val="FollowedHyperlink"/>
    <w:basedOn w:val="style65"/>
    <w:next w:val="style86"/>
    <w:qFormat/>
    <w:uiPriority w:val="99"/>
    <w:rPr>
      <w:color w:val="954f72"/>
      <w:u w:val="single"/>
    </w:rPr>
  </w:style>
  <w:style w:type="character" w:styleId="style85">
    <w:name w:val="Hyperlink"/>
    <w:basedOn w:val="style65"/>
    <w:next w:val="style85"/>
    <w:qFormat/>
    <w:uiPriority w:val="99"/>
    <w:rPr>
      <w:color w:val="0563c1"/>
      <w:u w:val="single"/>
    </w:rPr>
  </w:style>
  <w:style w:type="paragraph" w:customStyle="1" w:styleId="style4097">
    <w:name w:val="列出段落1"/>
    <w:basedOn w:val="style0"/>
    <w:next w:val="style4097"/>
    <w:qFormat/>
    <w:uiPriority w:val="34"/>
    <w:pPr>
      <w:ind w:firstLine="420" w:firstLineChars="200"/>
    </w:pPr>
    <w:rPr/>
  </w:style>
  <w:style w:type="character" w:customStyle="1" w:styleId="style4098">
    <w:name w:val="批注框文本 字符"/>
    <w:basedOn w:val="style65"/>
    <w:next w:val="style4098"/>
    <w:link w:val="style153"/>
    <w:qFormat/>
    <w:uiPriority w:val="99"/>
    <w:rPr>
      <w:sz w:val="18"/>
      <w:szCs w:val="18"/>
    </w:rPr>
  </w:style>
  <w:style w:type="character" w:customStyle="1" w:styleId="style4099">
    <w:name w:val="页眉 字符"/>
    <w:basedOn w:val="style65"/>
    <w:next w:val="style4099"/>
    <w:link w:val="style31"/>
    <w:qFormat/>
    <w:uiPriority w:val="99"/>
    <w:rPr>
      <w:sz w:val="18"/>
      <w:szCs w:val="18"/>
    </w:rPr>
  </w:style>
  <w:style w:type="character" w:customStyle="1" w:styleId="style4100">
    <w:name w:val="页脚 字符"/>
    <w:basedOn w:val="style65"/>
    <w:next w:val="style4100"/>
    <w:link w:val="style32"/>
    <w:qFormat/>
    <w:uiPriority w:val="99"/>
    <w:rPr>
      <w:sz w:val="18"/>
      <w:szCs w:val="18"/>
    </w:rPr>
  </w:style>
  <w:style w:type="character" w:customStyle="1" w:styleId="style4101">
    <w:name w:val="oab-info"/>
    <w:basedOn w:val="style65"/>
    <w:next w:val="style4101"/>
    <w:qFormat/>
    <w:uiPriority w:val="0"/>
  </w:style>
  <w:style w:type="character" w:customStyle="1" w:styleId="style4102">
    <w:name w:val="font21"/>
    <w:basedOn w:val="style65"/>
    <w:next w:val="style4102"/>
    <w:qFormat/>
    <w:uiPriority w:val="0"/>
    <w:rPr>
      <w:rFonts w:ascii="微软雅黑" w:cs="微软雅黑" w:eastAsia="微软雅黑" w:hAnsi="微软雅黑" w:hint="eastAsia"/>
      <w:color w:val="000000"/>
      <w:sz w:val="21"/>
      <w:szCs w:val="21"/>
      <w:u w:val="none"/>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Words>1965</Words>
  <Pages>5</Pages>
  <Characters>2150</Characters>
  <Application>WPS Office</Application>
  <DocSecurity>0</DocSecurity>
  <Paragraphs>227</Paragraphs>
  <ScaleCrop>false</ScaleCrop>
  <Company>Microsoft</Company>
  <LinksUpToDate>false</LinksUpToDate>
  <CharactersWithSpaces>2167</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2021-02-03T05:40:00Z</dcterms:created>
  <dc:creator>凌嘉威（Ling JiaWei)</dc:creator>
  <lastModifiedBy>25019PNF3C</lastModifiedBy>
  <dcterms:modified xsi:type="dcterms:W3CDTF">2025-09-22T01:45:37Z</dcterms:modified>
  <revision>39</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6C6B481236B842C1BC7AF037B889397B_13</vt:lpwstr>
  </property>
  <property fmtid="{D5CDD505-2E9C-101B-9397-08002B2CF9AE}" pid="4" name="KSOTemplateDocerSaveRecord">
    <vt:lpwstr>eyJoZGlkIjoiY2E3NWI3NGU0NjdkNjBlMGFmMzk2MmM0NjhkOGUwODAiLCJ1c2VySWQiOiIxNjIzMzEzMjQwIn0=</vt:lpwstr>
  </property>
</Properties>
</file>