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122E4C">
      <w:pPr>
        <w:spacing w:line="586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方正小标宋_GBK" w:hAnsi="Times New Roman" w:eastAsia="方正小标宋_GBK" w:cs="Times New Roman"/>
          <w:sz w:val="44"/>
          <w:szCs w:val="44"/>
        </w:rPr>
        <w:t>桂林电子科技大学</w:t>
      </w:r>
      <w:r>
        <w:rPr>
          <w:rFonts w:ascii="Times New Roman" w:hAnsi="Times New Roman" w:eastAsia="方正小标宋_GBK" w:cs="Times New Roman"/>
          <w:sz w:val="44"/>
          <w:szCs w:val="44"/>
        </w:rPr>
        <w:t>2025</w:t>
      </w:r>
      <w:r>
        <w:rPr>
          <w:rFonts w:hint="eastAsia" w:ascii="方正小标宋_GBK" w:hAnsi="Times New Roman" w:eastAsia="方正小标宋_GBK" w:cs="Times New Roman"/>
          <w:sz w:val="44"/>
          <w:szCs w:val="44"/>
        </w:rPr>
        <w:t>“</w:t>
      </w:r>
      <w:r>
        <w:rPr>
          <w:rFonts w:ascii="方正小标宋_GBK" w:hAnsi="Times New Roman" w:eastAsia="方正小标宋_GBK" w:cs="Times New Roman"/>
          <w:sz w:val="44"/>
          <w:szCs w:val="44"/>
        </w:rPr>
        <w:t>研在桂电</w:t>
      </w:r>
      <w:r>
        <w:rPr>
          <w:rFonts w:ascii="Times New Roman" w:hAnsi="Times New Roman" w:eastAsia="方正小标宋_GBK" w:cs="Times New Roman"/>
          <w:sz w:val="44"/>
          <w:szCs w:val="44"/>
        </w:rPr>
        <w:t>•</w:t>
      </w:r>
      <w:r>
        <w:rPr>
          <w:rFonts w:ascii="方正小标宋_GBK" w:hAnsi="Times New Roman" w:eastAsia="方正小标宋_GBK" w:cs="Times New Roman"/>
          <w:sz w:val="44"/>
          <w:szCs w:val="44"/>
        </w:rPr>
        <w:t>声韵筑梦</w:t>
      </w:r>
      <w:r>
        <w:rPr>
          <w:rFonts w:hint="eastAsia" w:ascii="方正小标宋_GBK" w:hAnsi="Times New Roman" w:eastAsia="方正小标宋_GBK" w:cs="Times New Roman"/>
          <w:sz w:val="44"/>
          <w:szCs w:val="44"/>
        </w:rPr>
        <w:t>”</w:t>
      </w:r>
      <w:r>
        <w:rPr>
          <w:rFonts w:ascii="方正小标宋_GBK" w:hAnsi="Times New Roman" w:eastAsia="方正小标宋_GBK" w:cs="Times New Roman"/>
          <w:sz w:val="44"/>
          <w:szCs w:val="44"/>
        </w:rPr>
        <w:t>研究生十佳歌手大赛初赛评分细则</w:t>
      </w:r>
    </w:p>
    <w:p w14:paraId="4D0BBCA0">
      <w:pPr>
        <w:spacing w:line="586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  <w14:ligatures w14:val="standardContextual"/>
        </w:rPr>
      </w:pPr>
    </w:p>
    <w:p w14:paraId="7C54403D">
      <w:pPr>
        <w:spacing w:line="586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  <w14:ligatures w14:val="standardContextual"/>
        </w:rPr>
      </w:pPr>
      <w:r>
        <w:rPr>
          <w:rFonts w:hint="eastAsia" w:ascii="Times New Roman" w:hAnsi="Times New Roman" w:eastAsia="仿宋_GB2312" w:cs="Times New Roman"/>
          <w:sz w:val="32"/>
          <w:szCs w:val="32"/>
          <w14:ligatures w14:val="standardContextual"/>
        </w:rPr>
        <w:t>本次十佳歌手大赛初赛评分标准由基础评分和创意评分两部分组成，基础评分标准以音色音质、演唱技巧、歌曲内容、仪表仪态、综合素质组成；创意评分标准以词曲创新、演奏创新组成。</w:t>
      </w:r>
    </w:p>
    <w:p w14:paraId="7E0185DC">
      <w:pPr>
        <w:spacing w:line="586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14:ligatures w14:val="standardContextual"/>
        </w:rPr>
      </w:pPr>
      <w:r>
        <w:rPr>
          <w:rFonts w:hint="eastAsia" w:ascii="Times New Roman" w:hAnsi="Times New Roman" w:eastAsia="仿宋_GB2312" w:cs="Times New Roman"/>
          <w:sz w:val="32"/>
          <w:szCs w:val="32"/>
          <w14:ligatures w14:val="standardContextual"/>
        </w:rPr>
        <w:t>具体的评分实施细则如下:</w:t>
      </w:r>
    </w:p>
    <w:p w14:paraId="68C824EC">
      <w:pPr>
        <w:spacing w:line="586" w:lineRule="exact"/>
        <w:rPr>
          <w:rFonts w:hint="eastAsia" w:ascii="黑体" w:hAnsi="黑体" w:eastAsia="黑体" w:cs="Times New Roman"/>
          <w:sz w:val="32"/>
          <w:szCs w:val="32"/>
          <w14:ligatures w14:val="standardContextual"/>
        </w:rPr>
      </w:pPr>
      <w:r>
        <w:rPr>
          <w:rFonts w:hint="eastAsia" w:ascii="黑体" w:hAnsi="黑体" w:eastAsia="黑体" w:cs="Times New Roman"/>
          <w:sz w:val="32"/>
          <w:szCs w:val="32"/>
          <w14:ligatures w14:val="standardContextual"/>
        </w:rPr>
        <w:t>一、评分标准</w:t>
      </w:r>
    </w:p>
    <w:p w14:paraId="10C3ADA1">
      <w:pPr>
        <w:spacing w:line="586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  <w14:ligatures w14:val="standardContextual"/>
        </w:rPr>
      </w:pPr>
      <w:r>
        <w:rPr>
          <w:rFonts w:hint="eastAsia" w:ascii="Times New Roman" w:hAnsi="Times New Roman" w:eastAsia="仿宋_GB2312" w:cs="Times New Roman"/>
          <w:sz w:val="32"/>
          <w:szCs w:val="32"/>
          <w14:ligatures w14:val="standardContextual"/>
        </w:rPr>
        <w:t>采用百分计分制（具体到小数点后两位数），去掉一个最高分，去掉一个最低分，取剩余评委给出的平均成绩为该选手最终得分。</w:t>
      </w:r>
    </w:p>
    <w:tbl>
      <w:tblPr>
        <w:tblStyle w:val="6"/>
        <w:tblpPr w:leftFromText="180" w:rightFromText="180" w:vertAnchor="text" w:horzAnchor="page" w:tblpX="1327" w:tblpY="328"/>
        <w:tblOverlap w:val="never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701"/>
        <w:gridCol w:w="6209"/>
      </w:tblGrid>
      <w:tr w14:paraId="5E875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696" w:type="dxa"/>
            <w:vAlign w:val="center"/>
          </w:tcPr>
          <w:p w14:paraId="7B7538B0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</w:p>
        </w:tc>
        <w:tc>
          <w:tcPr>
            <w:tcW w:w="1701" w:type="dxa"/>
            <w:vAlign w:val="center"/>
          </w:tcPr>
          <w:p w14:paraId="5AC55F52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评分项</w:t>
            </w:r>
          </w:p>
        </w:tc>
        <w:tc>
          <w:tcPr>
            <w:tcW w:w="6209" w:type="dxa"/>
            <w:vAlign w:val="center"/>
          </w:tcPr>
          <w:p w14:paraId="7083F607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内容</w:t>
            </w:r>
          </w:p>
        </w:tc>
      </w:tr>
      <w:tr w14:paraId="65A9C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696" w:type="dxa"/>
            <w:vMerge w:val="restart"/>
            <w:vAlign w:val="center"/>
          </w:tcPr>
          <w:p w14:paraId="5DEF08C2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基础评分标准</w:t>
            </w:r>
          </w:p>
          <w:p w14:paraId="66E46482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（85分）</w:t>
            </w:r>
          </w:p>
        </w:tc>
        <w:tc>
          <w:tcPr>
            <w:tcW w:w="1701" w:type="dxa"/>
            <w:vAlign w:val="center"/>
          </w:tcPr>
          <w:p w14:paraId="00269EDA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音色音质</w:t>
            </w:r>
          </w:p>
        </w:tc>
        <w:tc>
          <w:tcPr>
            <w:tcW w:w="6209" w:type="dxa"/>
            <w:vAlign w:val="center"/>
          </w:tcPr>
          <w:p w14:paraId="28FA8A77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发音清楚，音色清晰而有质感，符合曲调</w:t>
            </w:r>
          </w:p>
        </w:tc>
      </w:tr>
      <w:tr w14:paraId="36D0F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696" w:type="dxa"/>
            <w:vMerge w:val="continue"/>
            <w:vAlign w:val="center"/>
          </w:tcPr>
          <w:p w14:paraId="536B9809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</w:p>
        </w:tc>
        <w:tc>
          <w:tcPr>
            <w:tcW w:w="1701" w:type="dxa"/>
            <w:vAlign w:val="center"/>
          </w:tcPr>
          <w:p w14:paraId="5CBBE505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演唱技巧</w:t>
            </w:r>
          </w:p>
        </w:tc>
        <w:tc>
          <w:tcPr>
            <w:tcW w:w="6209" w:type="dxa"/>
            <w:vAlign w:val="center"/>
          </w:tcPr>
          <w:p w14:paraId="044C79E3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整首歌曲的演唱富有感情，音乐节奏感强，气息平稳，歌曲难易程度，歌曲演唱表达完整</w:t>
            </w:r>
          </w:p>
        </w:tc>
      </w:tr>
      <w:tr w14:paraId="49821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696" w:type="dxa"/>
            <w:vMerge w:val="continue"/>
            <w:vAlign w:val="center"/>
          </w:tcPr>
          <w:p w14:paraId="6FFD37C3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</w:p>
        </w:tc>
        <w:tc>
          <w:tcPr>
            <w:tcW w:w="1701" w:type="dxa"/>
            <w:vAlign w:val="center"/>
          </w:tcPr>
          <w:p w14:paraId="798B7C78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歌曲内容</w:t>
            </w:r>
          </w:p>
        </w:tc>
        <w:tc>
          <w:tcPr>
            <w:tcW w:w="6209" w:type="dxa"/>
            <w:vAlign w:val="center"/>
          </w:tcPr>
          <w:p w14:paraId="3ED324CE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参赛曲目内容健康，积极向上</w:t>
            </w:r>
          </w:p>
        </w:tc>
      </w:tr>
      <w:tr w14:paraId="3F327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696" w:type="dxa"/>
            <w:vMerge w:val="continue"/>
            <w:vAlign w:val="center"/>
          </w:tcPr>
          <w:p w14:paraId="00019A37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</w:p>
        </w:tc>
        <w:tc>
          <w:tcPr>
            <w:tcW w:w="1701" w:type="dxa"/>
            <w:vAlign w:val="center"/>
          </w:tcPr>
          <w:p w14:paraId="059CCABA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仪表仪态</w:t>
            </w:r>
          </w:p>
        </w:tc>
        <w:tc>
          <w:tcPr>
            <w:tcW w:w="6209" w:type="dxa"/>
            <w:vAlign w:val="center"/>
          </w:tcPr>
          <w:p w14:paraId="6C95D0BA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着装整洁，舒展自然，仪态大方，形象打扮符合歌曲内容</w:t>
            </w:r>
          </w:p>
        </w:tc>
      </w:tr>
      <w:tr w14:paraId="577FB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696" w:type="dxa"/>
            <w:vMerge w:val="continue"/>
            <w:vAlign w:val="center"/>
          </w:tcPr>
          <w:p w14:paraId="599B50DD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</w:p>
        </w:tc>
        <w:tc>
          <w:tcPr>
            <w:tcW w:w="1701" w:type="dxa"/>
            <w:vAlign w:val="center"/>
          </w:tcPr>
          <w:p w14:paraId="2A116408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综合素质</w:t>
            </w:r>
          </w:p>
        </w:tc>
        <w:tc>
          <w:tcPr>
            <w:tcW w:w="6209" w:type="dxa"/>
            <w:vAlign w:val="center"/>
          </w:tcPr>
          <w:p w14:paraId="0727A53E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舞台表现力，观众的反响，整体印象</w:t>
            </w:r>
          </w:p>
        </w:tc>
      </w:tr>
      <w:tr w14:paraId="0065C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96" w:type="dxa"/>
            <w:vMerge w:val="restart"/>
            <w:vAlign w:val="center"/>
          </w:tcPr>
          <w:p w14:paraId="5D024BA7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创意评分标准</w:t>
            </w:r>
          </w:p>
          <w:p w14:paraId="07089B42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（15分）</w:t>
            </w:r>
          </w:p>
        </w:tc>
        <w:tc>
          <w:tcPr>
            <w:tcW w:w="1701" w:type="dxa"/>
            <w:vAlign w:val="center"/>
          </w:tcPr>
          <w:p w14:paraId="3C57428A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词曲创新</w:t>
            </w:r>
          </w:p>
        </w:tc>
        <w:tc>
          <w:tcPr>
            <w:tcW w:w="6209" w:type="dxa"/>
            <w:vAlign w:val="center"/>
          </w:tcPr>
          <w:p w14:paraId="77408E7D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融入传统文化元素，如传统乐器、古典诗词或民族音乐风格等，演唱作品具有文化深度和独特性</w:t>
            </w:r>
          </w:p>
        </w:tc>
      </w:tr>
      <w:tr w14:paraId="2B822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696" w:type="dxa"/>
            <w:vMerge w:val="continue"/>
            <w:vAlign w:val="center"/>
          </w:tcPr>
          <w:p w14:paraId="1F1A196C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</w:p>
        </w:tc>
        <w:tc>
          <w:tcPr>
            <w:tcW w:w="1701" w:type="dxa"/>
            <w:vAlign w:val="center"/>
          </w:tcPr>
          <w:p w14:paraId="06F70EFF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演奏创新</w:t>
            </w:r>
          </w:p>
        </w:tc>
        <w:tc>
          <w:tcPr>
            <w:tcW w:w="6209" w:type="dxa"/>
            <w:vAlign w:val="center"/>
          </w:tcPr>
          <w:p w14:paraId="22736B1C">
            <w:pPr>
              <w:spacing w:line="586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14:ligatures w14:val="standardContextual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14:ligatures w14:val="standardContextual"/>
              </w:rPr>
              <w:t>表演中融入传统乐器演奏，展现文化传承与创新融合</w:t>
            </w:r>
          </w:p>
        </w:tc>
      </w:tr>
    </w:tbl>
    <w:p w14:paraId="73C558E3">
      <w:pPr>
        <w:spacing w:line="586" w:lineRule="exact"/>
        <w:rPr>
          <w:rFonts w:hint="eastAsia" w:ascii="黑体" w:hAnsi="黑体" w:eastAsia="黑体" w:cs="Times New Roman"/>
          <w:sz w:val="32"/>
          <w:szCs w:val="32"/>
          <w14:ligatures w14:val="standardContextual"/>
        </w:rPr>
      </w:pPr>
      <w:r>
        <w:rPr>
          <w:rFonts w:hint="eastAsia" w:ascii="黑体" w:hAnsi="黑体" w:eastAsia="黑体" w:cs="Times New Roman"/>
          <w:sz w:val="32"/>
          <w:szCs w:val="32"/>
          <w14:ligatures w14:val="standardContextual"/>
        </w:rPr>
        <w:t>二、注意事项:</w:t>
      </w:r>
    </w:p>
    <w:p w14:paraId="31103CDE">
      <w:pPr>
        <w:spacing w:line="586" w:lineRule="exact"/>
        <w:rPr>
          <w:rFonts w:ascii="Times New Roman" w:hAnsi="Times New Roman" w:eastAsia="仿宋_GB2312" w:cs="Times New Roman"/>
          <w:bCs/>
          <w:sz w:val="32"/>
          <w:szCs w:val="32"/>
          <w14:ligatures w14:val="standardContextual"/>
        </w:rPr>
      </w:pPr>
      <w:r>
        <w:rPr>
          <w:rFonts w:hint="eastAsia" w:ascii="楷体" w:hAnsi="楷体" w:eastAsia="楷体" w:cs="Times New Roman"/>
          <w:bCs/>
          <w:sz w:val="32"/>
          <w:szCs w:val="32"/>
          <w14:ligatures w14:val="standardContextual"/>
        </w:rPr>
        <w:t>（一）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14:ligatures w14:val="standardContextual"/>
        </w:rPr>
        <w:t>评委根据“评分标准”综合评分；</w:t>
      </w:r>
    </w:p>
    <w:p w14:paraId="6DFC3CCE">
      <w:pPr>
        <w:spacing w:line="586" w:lineRule="exact"/>
        <w:rPr>
          <w:rFonts w:ascii="Times New Roman" w:hAnsi="Times New Roman" w:eastAsia="仿宋_GB2312" w:cs="Times New Roman"/>
          <w:sz w:val="32"/>
          <w:szCs w:val="32"/>
          <w14:ligatures w14:val="standardContextual"/>
        </w:rPr>
      </w:pPr>
      <w:r>
        <w:rPr>
          <w:rFonts w:hint="eastAsia" w:ascii="楷体" w:hAnsi="楷体" w:eastAsia="楷体" w:cs="Times New Roman"/>
          <w:bCs/>
          <w:sz w:val="32"/>
          <w:szCs w:val="32"/>
          <w14:ligatures w14:val="standardContextual"/>
        </w:rPr>
        <w:t>（二）</w:t>
      </w:r>
      <w:r>
        <w:rPr>
          <w:rFonts w:hint="eastAsia" w:ascii="Times New Roman" w:hAnsi="Times New Roman" w:eastAsia="仿宋_GB2312" w:cs="Times New Roman"/>
          <w:sz w:val="32"/>
          <w:szCs w:val="32"/>
          <w14:ligatures w14:val="standardContextual"/>
        </w:rPr>
        <w:t>参赛选手自带伴奏，但须消除原唱，未消除者视为作弊，取消参赛资格。</w:t>
      </w:r>
    </w:p>
    <w:p w14:paraId="50E6EFBA">
      <w:pPr>
        <w:spacing w:line="586" w:lineRule="exact"/>
        <w:rPr>
          <w:rFonts w:ascii="Times New Roman" w:hAnsi="Times New Roman" w:eastAsia="仿宋_GB2312" w:cs="Times New Roman"/>
          <w:sz w:val="32"/>
          <w:szCs w:val="32"/>
          <w14:ligatures w14:val="standardContextual"/>
        </w:rPr>
      </w:pPr>
    </w:p>
    <w:p w14:paraId="02662A54">
      <w:pPr>
        <w:spacing w:line="586" w:lineRule="exact"/>
        <w:rPr>
          <w:rFonts w:ascii="Times New Roman" w:hAnsi="Times New Roman" w:eastAsia="仿宋_GB2312" w:cs="Times New Roman"/>
          <w:sz w:val="32"/>
          <w:szCs w:val="32"/>
          <w14:ligatures w14:val="standardContextual"/>
        </w:rPr>
      </w:pPr>
    </w:p>
    <w:p w14:paraId="73EAD7C8">
      <w:pPr>
        <w:spacing w:line="586" w:lineRule="exact"/>
        <w:rPr>
          <w:rFonts w:ascii="Times New Roman" w:hAnsi="Times New Roman" w:eastAsia="仿宋_GB2312" w:cs="Times New Roman"/>
          <w:sz w:val="32"/>
          <w:szCs w:val="32"/>
          <w14:ligatures w14:val="standardContextual"/>
        </w:rPr>
      </w:pPr>
    </w:p>
    <w:p w14:paraId="7147D5C1">
      <w:pPr>
        <w:spacing w:line="586" w:lineRule="exact"/>
        <w:rPr>
          <w:rFonts w:ascii="Times New Roman" w:hAnsi="Times New Roman" w:eastAsia="仿宋_GB2312" w:cs="Times New Roman"/>
          <w:sz w:val="32"/>
          <w:szCs w:val="32"/>
          <w14:ligatures w14:val="standardContextual"/>
        </w:rPr>
      </w:pPr>
    </w:p>
    <w:p w14:paraId="60C5DBF3">
      <w:pPr>
        <w:spacing w:line="586" w:lineRule="exact"/>
        <w:rPr>
          <w:rFonts w:ascii="Times New Roman" w:hAnsi="Times New Roman" w:eastAsia="仿宋_GB2312" w:cs="Times New Roman"/>
          <w:sz w:val="32"/>
          <w:szCs w:val="32"/>
          <w14:ligatures w14:val="standardContextual"/>
        </w:rPr>
      </w:pPr>
    </w:p>
    <w:p w14:paraId="2C8981E5">
      <w:pPr>
        <w:spacing w:line="586" w:lineRule="exact"/>
        <w:rPr>
          <w:rFonts w:ascii="Times New Roman" w:hAnsi="Times New Roman" w:eastAsia="仿宋_GB2312" w:cs="Times New Roman"/>
          <w:sz w:val="32"/>
          <w:szCs w:val="32"/>
          <w14:ligatures w14:val="standardContextual"/>
        </w:rPr>
      </w:pPr>
    </w:p>
    <w:p w14:paraId="12BF70B6">
      <w:pPr>
        <w:spacing w:line="586" w:lineRule="exact"/>
        <w:rPr>
          <w:rFonts w:ascii="Times New Roman" w:hAnsi="Times New Roman" w:eastAsia="仿宋_GB2312" w:cs="Times New Roman"/>
          <w:sz w:val="32"/>
          <w:szCs w:val="32"/>
          <w14:ligatures w14:val="standardContextual"/>
        </w:rPr>
      </w:pPr>
    </w:p>
    <w:p w14:paraId="1F93983C">
      <w:pPr>
        <w:spacing w:line="586" w:lineRule="exact"/>
        <w:jc w:val="righ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  <w14:ligatures w14:val="standardContextual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  <w14:ligatures w14:val="standardContextual"/>
        </w:rPr>
        <w:t>研究生工作部</w:t>
      </w:r>
    </w:p>
    <w:p w14:paraId="0B526696">
      <w:pPr>
        <w:spacing w:line="586" w:lineRule="exact"/>
        <w:jc w:val="right"/>
        <w:rPr>
          <w:rFonts w:ascii="Times New Roman" w:hAnsi="Times New Roman" w:eastAsia="仿宋_GB2312" w:cs="Times New Roman"/>
          <w:sz w:val="32"/>
          <w:szCs w:val="32"/>
          <w14:ligatures w14:val="standardContextual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14:ligatures w14:val="standardContextual"/>
        </w:rPr>
        <w:t>2025年3月2</w:t>
      </w:r>
      <w:r>
        <w:rPr>
          <w:rFonts w:ascii="Times New Roman" w:hAnsi="Times New Roman" w:eastAsia="仿宋_GB2312" w:cs="Times New Roman"/>
          <w:sz w:val="32"/>
          <w:szCs w:val="32"/>
          <w14:ligatures w14:val="standardContextual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  <w14:ligatures w14:val="standardContextual"/>
        </w:rPr>
        <w:t>日</w:t>
      </w:r>
    </w:p>
    <w:sectPr>
      <w:pgSz w:w="11906" w:h="16838"/>
      <w:pgMar w:top="2098" w:right="1474" w:bottom="181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IzZTEwNzc5YWRlYTY5ZDZlYmY0N2Q5ZDJlZWU5OTkifQ=="/>
  </w:docVars>
  <w:rsids>
    <w:rsidRoot w:val="75A1107B"/>
    <w:rsid w:val="00040D53"/>
    <w:rsid w:val="00147F10"/>
    <w:rsid w:val="001F3576"/>
    <w:rsid w:val="00205897"/>
    <w:rsid w:val="004A5ABE"/>
    <w:rsid w:val="004D372F"/>
    <w:rsid w:val="00530247"/>
    <w:rsid w:val="006B0576"/>
    <w:rsid w:val="006B3B8D"/>
    <w:rsid w:val="008221A6"/>
    <w:rsid w:val="0089412D"/>
    <w:rsid w:val="00902934"/>
    <w:rsid w:val="00907B90"/>
    <w:rsid w:val="00CB004D"/>
    <w:rsid w:val="00D713D6"/>
    <w:rsid w:val="00E65C2A"/>
    <w:rsid w:val="00E85A43"/>
    <w:rsid w:val="00ED0E1C"/>
    <w:rsid w:val="00FA69DC"/>
    <w:rsid w:val="054D4B73"/>
    <w:rsid w:val="05942316"/>
    <w:rsid w:val="0D220AAF"/>
    <w:rsid w:val="1A784C28"/>
    <w:rsid w:val="219C1E6D"/>
    <w:rsid w:val="24310118"/>
    <w:rsid w:val="2C920E0B"/>
    <w:rsid w:val="2E1437D5"/>
    <w:rsid w:val="2EF950BD"/>
    <w:rsid w:val="30F7176A"/>
    <w:rsid w:val="34DB6C65"/>
    <w:rsid w:val="36481D84"/>
    <w:rsid w:val="44044A8E"/>
    <w:rsid w:val="4F0709F7"/>
    <w:rsid w:val="50820F91"/>
    <w:rsid w:val="6B927D43"/>
    <w:rsid w:val="6B9C429C"/>
    <w:rsid w:val="6F070F12"/>
    <w:rsid w:val="6F623FAC"/>
    <w:rsid w:val="75A1107B"/>
    <w:rsid w:val="795453D6"/>
    <w:rsid w:val="7CA76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adjustRightInd w:val="0"/>
      <w:snapToGrid w:val="0"/>
      <w:spacing w:line="586" w:lineRule="exact"/>
      <w:jc w:val="center"/>
      <w:outlineLvl w:val="0"/>
    </w:pPr>
    <w:rPr>
      <w:rFonts w:ascii="Times New Roman" w:hAnsi="Times New Roman" w:eastAsia="方正小标宋_GBK" w:cs="Times New Roman"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rFonts w:ascii="Calibri" w:hAnsi="Calibri" w:cs="宋体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标题 1 字符"/>
    <w:basedOn w:val="7"/>
    <w:link w:val="2"/>
    <w:uiPriority w:val="0"/>
    <w:rPr>
      <w:rFonts w:eastAsia="方正小标宋_GBK"/>
      <w:kern w:val="44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2</Pages>
  <Words>500</Words>
  <Characters>509</Characters>
  <Lines>3</Lines>
  <Paragraphs>1</Paragraphs>
  <TotalTime>1</TotalTime>
  <ScaleCrop>false</ScaleCrop>
  <LinksUpToDate>false</LinksUpToDate>
  <CharactersWithSpaces>509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2025-03-26T05:38:00Z</dcterms:created>
  <dc:creator>微风~</dc:creator>
  <cp:lastModifiedBy>^、*Lincoln、Cid</cp:lastModifiedBy>
  <dcterms:modified xsi:type="dcterms:W3CDTF">2025-03-26T07:52:14Z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ABB39CE64DEB4FFA87F901BA7CC82694_13</vt:lpwstr>
  </property>
  <property fmtid="{D5CDD505-2E9C-101B-9397-08002B2CF9AE}" pid="4" name="KSOTemplateDocerSaveRecord">
    <vt:lpwstr>eyJoZGlkIjoiNDAzMTg0MDk3MWQyMzQ2ZTgxMTYxZTMxYmRmZDc5YmYiLCJ1c2VySWQiOiI1MTcyMTM2MjgifQ==</vt:lpwstr>
  </property>
</Properties>
</file>