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建筑与交通工程学院领导班子</w:t>
      </w:r>
    </w:p>
    <w:p>
      <w:pPr>
        <w:spacing w:line="580" w:lineRule="exact"/>
        <w:jc w:val="center"/>
        <w:rPr>
          <w:rFonts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任期述职述廉报告</w:t>
      </w:r>
    </w:p>
    <w:p>
      <w:pPr>
        <w:spacing w:line="580" w:lineRule="exact"/>
        <w:jc w:val="center"/>
        <w:rPr>
          <w:rFonts w:ascii="仿宋_GB2312" w:hAnsi="楷体" w:eastAsia="仿宋_GB2312" w:cs="Times New Roman"/>
          <w:sz w:val="32"/>
          <w:szCs w:val="32"/>
        </w:rPr>
      </w:pP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届任期内，学院领导班子以习近平新时代中国特色社会主义思想为指导，深入贯彻党的十九大和十九届历次全会精神，学习贯彻习近平总书记关于教育的重要论述和全国、全区教育大会精神，贯彻落实学校党委的工作部署，</w:t>
      </w:r>
      <w:bookmarkStart w:id="0" w:name="_GoBack"/>
      <w:bookmarkEnd w:id="0"/>
      <w:r>
        <w:rPr>
          <w:rFonts w:hint="eastAsia" w:ascii="仿宋_GB2312" w:hAnsi="仿宋_GB2312" w:eastAsia="仿宋_GB2312" w:cs="仿宋_GB2312"/>
          <w:color w:val="000000"/>
          <w:sz w:val="32"/>
          <w:szCs w:val="32"/>
        </w:rPr>
        <w:t>坚持和加强党对学院工作的全面领导，认真落实立德树人根本任务，统筹抓好疫情防控、安全稳定和学院改革发展工作，为促进学院高质量发展奠定了坚实基础。</w:t>
      </w:r>
    </w:p>
    <w:p>
      <w:pPr>
        <w:spacing w:line="580" w:lineRule="exact"/>
        <w:ind w:firstLine="640" w:firstLineChars="200"/>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一、加强学院党的建设，履行党委主体责任</w:t>
      </w:r>
    </w:p>
    <w:p>
      <w:pPr>
        <w:spacing w:line="58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color w:val="000000"/>
          <w:sz w:val="32"/>
          <w:szCs w:val="32"/>
        </w:rPr>
        <w:t>学院领导班子带头加强理论武装，坚决贯彻党中央、自治区和学校党委有关决策部署，在增强</w:t>
      </w:r>
      <w:r>
        <w:rPr>
          <w:rFonts w:hint="eastAsia" w:ascii="仿宋_GB2312" w:hAnsi="仿宋_GB2312" w:eastAsia="仿宋_GB2312" w:cs="仿宋_GB2312"/>
          <w:sz w:val="32"/>
          <w:szCs w:val="32"/>
        </w:rPr>
        <w:t>“四个意识”、坚定“四个自信”、做到“两个维护”上做表率。四年来，学院领导班子一直不能满额配备，但是班子成员克服困难，勇于担当，勇于担责，</w:t>
      </w:r>
      <w:r>
        <w:rPr>
          <w:rFonts w:hint="eastAsia" w:ascii="仿宋_GB2312" w:hAnsi="仿宋_GB2312" w:eastAsia="仿宋_GB2312" w:cs="仿宋_GB2312"/>
          <w:color w:val="000000"/>
          <w:sz w:val="32"/>
          <w:szCs w:val="32"/>
        </w:rPr>
        <w:t>坚持和完善学院党委会会议和党政联席会议制度，提高校院二级管理下的管党治院工作能力和决策水平。围绕立德树人，扎实抓好师生思想政治工作，深化“三全育人”工作氛围，引导教职工全过程参与学生培养，常态化开展师德师风建设</w:t>
      </w:r>
      <w:r>
        <w:rPr>
          <w:rFonts w:hint="eastAsia" w:ascii="仿宋" w:hAnsi="仿宋" w:eastAsia="仿宋" w:cs="Times New Roman"/>
          <w:color w:val="000000"/>
          <w:sz w:val="32"/>
          <w:szCs w:val="32"/>
        </w:rPr>
        <w:t>。全面从严治党，加强学院党的基层组织建设，推进党支部标准化规范化建设，党支部全部按照星级党支部建设，配齐专职组织员和教师“双带头人”党支部书记，四年共发展党员近400余名，认真组织师生开展“不忘初心 牢记使命”主题教育、党史学习教育等活动；接受学校党委第三轮巡察，对巡察反馈问题进行坚决整改；</w:t>
      </w:r>
      <w:r>
        <w:rPr>
          <w:rFonts w:hint="eastAsia" w:ascii="仿宋_GB2312" w:hAnsi="仿宋_GB2312" w:eastAsia="仿宋_GB2312" w:cs="仿宋_GB2312"/>
          <w:color w:val="000000"/>
          <w:sz w:val="32"/>
          <w:szCs w:val="32"/>
        </w:rPr>
        <w:t>在庆祝</w:t>
      </w:r>
      <w:r>
        <w:rPr>
          <w:rFonts w:hint="eastAsia" w:ascii="仿宋_GB2312" w:hAnsi="仿宋_GB2312" w:eastAsia="仿宋_GB2312" w:cs="仿宋_GB2312"/>
          <w:sz w:val="32"/>
          <w:szCs w:val="32"/>
        </w:rPr>
        <w:t>中国共产党成立100周年系列表彰活动中，1人荣获自治区党委教育工委优秀党务工作者称号，1人荣获自治区党委教育工委优秀党员称号，学院党委荣获学校先进基层党组织称号。加强学院意识形态和安全稳定工作，做好学院课堂、讲座、宣传思想阵地、学生社团的管理，新冠肺炎疫情期间加强师生管理，没有出现危害意识形态和安全稳定事件。</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sz w:val="32"/>
          <w:szCs w:val="32"/>
        </w:rPr>
        <w:t>2021年，</w:t>
      </w:r>
      <w:r>
        <w:rPr>
          <w:rFonts w:hint="eastAsia" w:ascii="仿宋_GB2312" w:hAnsi="仿宋_GB2312" w:eastAsia="仿宋_GB2312" w:cs="仿宋_GB2312"/>
          <w:color w:val="000000"/>
          <w:sz w:val="32"/>
          <w:szCs w:val="32"/>
        </w:rPr>
        <w:t>自治区党委副书记刘小明视察学校期间专门莅临学院考察指导，对学院建院十年来取得的成绩表示肯定。</w:t>
      </w:r>
    </w:p>
    <w:p>
      <w:pPr>
        <w:spacing w:line="580" w:lineRule="exact"/>
        <w:ind w:firstLine="640" w:firstLineChars="200"/>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二、加强“双一流”建设，推动学院事业大踏步发展</w:t>
      </w:r>
    </w:p>
    <w:p>
      <w:pPr>
        <w:spacing w:line="580"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1.专业建设取得积极成效。</w:t>
      </w:r>
      <w:r>
        <w:rPr>
          <w:rFonts w:hint="eastAsia" w:ascii="仿宋_GB2312" w:hAnsi="仿宋_GB2312" w:eastAsia="仿宋_GB2312" w:cs="仿宋_GB2312"/>
          <w:color w:val="000000" w:themeColor="text1"/>
          <w:sz w:val="32"/>
          <w:szCs w:val="32"/>
          <w14:textFill>
            <w14:solidFill>
              <w14:schemeClr w14:val="tx1"/>
            </w14:solidFill>
          </w14:textFill>
        </w:rPr>
        <w:t>2019年、2021年交通工程专业、建筑环境与能源应用工程专业分别通过工程教育专业认证（评估），专业认证（评估）通过率50%。交通工程专业获批</w:t>
      </w:r>
      <w:r>
        <w:rPr>
          <w:rFonts w:hint="eastAsia" w:ascii="仿宋_GB2312" w:hAnsi="Times New Roman" w:eastAsia="仿宋_GB2312" w:cs="Times New Roman"/>
          <w:kern w:val="0"/>
          <w:sz w:val="32"/>
          <w:szCs w:val="32"/>
        </w:rPr>
        <w:t>广西本科高校特色专业并</w:t>
      </w:r>
      <w:r>
        <w:rPr>
          <w:rFonts w:hint="eastAsia" w:ascii="仿宋_GB2312" w:hAnsi="仿宋_GB2312" w:eastAsia="仿宋_GB2312" w:cs="仿宋_GB2312"/>
          <w:color w:val="000000" w:themeColor="text1"/>
          <w:sz w:val="32"/>
          <w:szCs w:val="32"/>
          <w14:textFill>
            <w14:solidFill>
              <w14:schemeClr w14:val="tx1"/>
            </w14:solidFill>
          </w14:textFill>
        </w:rPr>
        <w:t>顺利通过“自治区创新创业示范专业”验收，入选国家级一流本科专业建设点，建筑环境与能源应用工程专业入选自治区级一流本科专业建设点；“智慧交通产业学院”获批学校“现代产业学院”建设培育点；</w:t>
      </w:r>
      <w:r>
        <w:rPr>
          <w:rFonts w:hint="eastAsia" w:ascii="仿宋_GB2312" w:hAnsi="仿宋_GB2312" w:eastAsia="仿宋_GB2312" w:cs="仿宋_GB2312"/>
          <w:sz w:val="32"/>
          <w:szCs w:val="32"/>
        </w:rPr>
        <w:t>2020年、2021年分别承办</w:t>
      </w:r>
      <w:r>
        <w:rPr>
          <w:rFonts w:hint="eastAsia" w:eastAsia="仿宋_GB2312"/>
          <w:sz w:val="32"/>
          <w:szCs w:val="32"/>
        </w:rPr>
        <w:t>教育部高等学校建筑环境与能源应用工程专业教指委、</w:t>
      </w:r>
      <w:r>
        <w:rPr>
          <w:rFonts w:hint="eastAsia" w:ascii="仿宋_GB2312" w:hAnsi="仿宋_GB2312" w:eastAsia="仿宋_GB2312" w:cs="仿宋_GB2312"/>
          <w:color w:val="000000"/>
          <w:sz w:val="32"/>
          <w:szCs w:val="32"/>
        </w:rPr>
        <w:t>交通工程专业教指委会议</w:t>
      </w:r>
      <w:r>
        <w:rPr>
          <w:rFonts w:hint="eastAsia" w:ascii="仿宋_GB2312" w:hAnsi="仿宋_GB2312" w:eastAsia="仿宋_GB2312" w:cs="仿宋_GB2312"/>
          <w:color w:val="000000" w:themeColor="text1"/>
          <w:sz w:val="32"/>
          <w:szCs w:val="32"/>
          <w14:textFill>
            <w14:solidFill>
              <w14:schemeClr w14:val="tx1"/>
            </w14:solidFill>
          </w14:textFill>
        </w:rPr>
        <w:t>，专业影响力进一步提升。</w:t>
      </w:r>
    </w:p>
    <w:p>
      <w:pPr>
        <w:spacing w:line="580" w:lineRule="exact"/>
        <w:ind w:firstLine="643" w:firstLineChars="200"/>
        <w:rPr>
          <w:rFonts w:ascii="仿宋_GB2312" w:hAnsi="Times New Roman" w:eastAsia="仿宋_GB2312" w:cs="Times New Roman"/>
          <w:kern w:val="0"/>
          <w:sz w:val="32"/>
          <w:szCs w:val="32"/>
        </w:rPr>
      </w:pPr>
      <w:r>
        <w:rPr>
          <w:rFonts w:hint="eastAsia" w:ascii="楷体" w:hAnsi="楷体" w:eastAsia="楷体" w:cs="楷体"/>
          <w:b/>
          <w:bCs/>
          <w:color w:val="000000" w:themeColor="text1"/>
          <w:sz w:val="32"/>
          <w:szCs w:val="32"/>
          <w14:textFill>
            <w14:solidFill>
              <w14:schemeClr w14:val="tx1"/>
            </w14:solidFill>
          </w14:textFill>
        </w:rPr>
        <w:t>2.扎实推进教育教学改革。</w:t>
      </w:r>
      <w:r>
        <w:rPr>
          <w:rFonts w:hint="eastAsia" w:ascii="仿宋_GB2312" w:hAnsi="仿宋_GB2312" w:eastAsia="仿宋_GB2312" w:cs="仿宋_GB2312"/>
          <w:color w:val="000000" w:themeColor="text1"/>
          <w:sz w:val="32"/>
          <w:szCs w:val="32"/>
          <w14:textFill>
            <w14:solidFill>
              <w14:schemeClr w14:val="tx1"/>
            </w14:solidFill>
          </w14:textFill>
        </w:rPr>
        <w:t>新增国家级一流本科课程1门，区级一流课程5门；</w:t>
      </w:r>
      <w:r>
        <w:rPr>
          <w:rFonts w:hint="eastAsia" w:ascii="仿宋" w:hAnsi="仿宋" w:eastAsia="仿宋" w:cs="Times New Roman"/>
          <w:color w:val="000000"/>
          <w:sz w:val="32"/>
          <w:szCs w:val="32"/>
        </w:rPr>
        <w:t>获得区级教学改革工程项目</w:t>
      </w:r>
      <w:r>
        <w:rPr>
          <w:rFonts w:ascii="仿宋" w:hAnsi="仿宋" w:eastAsia="仿宋" w:cs="Times New Roman"/>
          <w:color w:val="000000"/>
          <w:sz w:val="32"/>
          <w:szCs w:val="32"/>
        </w:rPr>
        <w:t>11</w:t>
      </w:r>
      <w:r>
        <w:rPr>
          <w:rFonts w:hint="eastAsia" w:ascii="仿宋" w:hAnsi="仿宋" w:eastAsia="仿宋" w:cs="Times New Roman"/>
          <w:color w:val="000000"/>
          <w:sz w:val="32"/>
          <w:szCs w:val="32"/>
        </w:rPr>
        <w:t>项；2018年</w:t>
      </w:r>
      <w:r>
        <w:rPr>
          <w:rFonts w:hint="eastAsia" w:ascii="仿宋_GB2312" w:hAnsi="Times New Roman" w:eastAsia="仿宋_GB2312" w:cs="Times New Roman"/>
          <w:kern w:val="0"/>
          <w:sz w:val="32"/>
          <w:szCs w:val="32"/>
        </w:rPr>
        <w:t>获广西教学成果二等奖1项，实现学院教学成果奖突破。学院教师多人次获得教学竞赛、“课程思政”比赛等赛事奖项。</w:t>
      </w:r>
    </w:p>
    <w:p>
      <w:pPr>
        <w:spacing w:line="580" w:lineRule="exact"/>
        <w:ind w:firstLine="643" w:firstLineChars="200"/>
        <w:rPr>
          <w:rFonts w:ascii="仿宋_GB2312" w:hAnsi="Times New Roman" w:eastAsia="仿宋_GB2312" w:cs="Times New Roman"/>
          <w:kern w:val="0"/>
          <w:sz w:val="32"/>
          <w:szCs w:val="32"/>
        </w:rPr>
      </w:pPr>
      <w:r>
        <w:rPr>
          <w:rFonts w:hint="eastAsia" w:ascii="楷体" w:hAnsi="楷体" w:eastAsia="楷体" w:cs="楷体"/>
          <w:b/>
          <w:bCs/>
          <w:color w:val="000000" w:themeColor="text1"/>
          <w:sz w:val="32"/>
          <w:szCs w:val="32"/>
          <w14:textFill>
            <w14:solidFill>
              <w14:schemeClr w14:val="tx1"/>
            </w14:solidFill>
          </w14:textFill>
        </w:rPr>
        <w:t>3.学生培养工作成效显著。</w:t>
      </w:r>
      <w:r>
        <w:rPr>
          <w:rFonts w:hint="eastAsia" w:ascii="仿宋_GB2312" w:hAnsi="Times New Roman" w:eastAsia="仿宋_GB2312" w:cs="Times New Roman"/>
          <w:kern w:val="0"/>
          <w:sz w:val="32"/>
          <w:szCs w:val="32"/>
        </w:rPr>
        <w:t>组织做好土木大类招生学生分流培养工作。加强学生思想政治教育，突出学生课外学术科技创新实践能力培养，近年来学生获得“挑战杯”大学生课外学术科技作品竞赛、中国国际互联网+大学生创新创业大赛等省部级以上奖项</w:t>
      </w:r>
      <w:r>
        <w:rPr>
          <w:rFonts w:ascii="仿宋_GB2312" w:hAnsi="Times New Roman" w:eastAsia="仿宋_GB2312" w:cs="Times New Roman"/>
          <w:kern w:val="0"/>
          <w:sz w:val="32"/>
          <w:szCs w:val="32"/>
        </w:rPr>
        <w:t>120</w:t>
      </w:r>
      <w:r>
        <w:rPr>
          <w:rFonts w:hint="eastAsia" w:ascii="仿宋_GB2312" w:hAnsi="Times New Roman" w:eastAsia="仿宋_GB2312" w:cs="Times New Roman"/>
          <w:kern w:val="0"/>
          <w:sz w:val="32"/>
          <w:szCs w:val="32"/>
        </w:rPr>
        <w:t>余项。毕业生就业率近年来一直位居学校前列，考研深造率</w:t>
      </w:r>
      <w:r>
        <w:rPr>
          <w:rFonts w:hint="eastAsia" w:ascii="仿宋_GB2312" w:hAnsi="Times New Roman" w:eastAsia="仿宋_GB2312" w:cs="Times New Roman"/>
          <w:kern w:val="0"/>
          <w:sz w:val="32"/>
          <w:szCs w:val="32"/>
          <w:lang w:val="en-US" w:eastAsia="zh-CN"/>
        </w:rPr>
        <w:t>近</w:t>
      </w:r>
      <w:r>
        <w:rPr>
          <w:rFonts w:hint="eastAsia" w:ascii="仿宋_GB2312" w:hAnsi="Times New Roman" w:eastAsia="仿宋_GB2312" w:cs="Times New Roman"/>
          <w:kern w:val="0"/>
          <w:sz w:val="32"/>
          <w:szCs w:val="32"/>
        </w:rPr>
        <w:t>2</w:t>
      </w:r>
      <w:r>
        <w:rPr>
          <w:rFonts w:ascii="仿宋_GB2312" w:hAnsi="Times New Roman" w:eastAsia="仿宋_GB2312" w:cs="Times New Roman"/>
          <w:kern w:val="0"/>
          <w:sz w:val="32"/>
          <w:szCs w:val="32"/>
        </w:rPr>
        <w:t>0</w:t>
      </w:r>
      <w:r>
        <w:rPr>
          <w:rFonts w:hint="eastAsia" w:ascii="仿宋_GB2312" w:hAnsi="Times New Roman" w:eastAsia="仿宋_GB2312" w:cs="Times New Roman"/>
          <w:kern w:val="0"/>
          <w:sz w:val="32"/>
          <w:szCs w:val="32"/>
        </w:rPr>
        <w:t>%。学生工作考核连续</w:t>
      </w:r>
      <w:r>
        <w:rPr>
          <w:rFonts w:hint="eastAsia" w:ascii="仿宋_GB2312" w:hAnsi="Times New Roman" w:eastAsia="仿宋_GB2312" w:cs="Times New Roman"/>
          <w:kern w:val="0"/>
          <w:sz w:val="32"/>
          <w:szCs w:val="32"/>
          <w:lang w:val="en-US" w:eastAsia="zh-CN"/>
        </w:rPr>
        <w:t>四</w:t>
      </w:r>
      <w:r>
        <w:rPr>
          <w:rFonts w:hint="eastAsia" w:ascii="仿宋_GB2312" w:hAnsi="Times New Roman" w:eastAsia="仿宋_GB2312" w:cs="Times New Roman"/>
          <w:kern w:val="0"/>
          <w:sz w:val="32"/>
          <w:szCs w:val="32"/>
        </w:rPr>
        <w:t>年获得优秀等级。</w:t>
      </w:r>
    </w:p>
    <w:p>
      <w:pPr>
        <w:spacing w:line="580" w:lineRule="exact"/>
        <w:ind w:firstLine="643" w:firstLineChars="200"/>
        <w:rPr>
          <w:rFonts w:ascii="仿宋_GB2312" w:hAnsi="Times New Roman" w:eastAsia="仿宋_GB2312" w:cs="Times New Roman"/>
          <w:kern w:val="0"/>
          <w:sz w:val="32"/>
          <w:szCs w:val="32"/>
        </w:rPr>
      </w:pPr>
      <w:r>
        <w:rPr>
          <w:rFonts w:hint="eastAsia" w:ascii="楷体" w:hAnsi="楷体" w:eastAsia="楷体" w:cs="楷体"/>
          <w:b/>
          <w:bCs/>
          <w:color w:val="000000" w:themeColor="text1"/>
          <w:sz w:val="32"/>
          <w:szCs w:val="32"/>
          <w14:textFill>
            <w14:solidFill>
              <w14:schemeClr w14:val="tx1"/>
            </w14:solidFill>
          </w14:textFill>
        </w:rPr>
        <w:t>4.学科建设取得新进展。</w:t>
      </w:r>
      <w:r>
        <w:rPr>
          <w:rFonts w:hint="eastAsia" w:ascii="仿宋_GB2312" w:hAnsi="Times New Roman" w:eastAsia="仿宋_GB2312" w:cs="Times New Roman"/>
          <w:kern w:val="0"/>
          <w:sz w:val="32"/>
          <w:szCs w:val="32"/>
        </w:rPr>
        <w:t>2018年获批“交通运输工程”一级学科硕士学位授权点，2019年获批“土木水利”专业学位硕士授权点，目前学院已拥有1个学术硕士点、2个专业硕士点。</w:t>
      </w:r>
      <w:r>
        <w:rPr>
          <w:rFonts w:hint="eastAsia" w:ascii="仿宋_GB2312" w:hAnsi="Times New Roman" w:eastAsia="仿宋_GB2312"/>
          <w:color w:val="000000"/>
          <w:sz w:val="32"/>
          <w:szCs w:val="32"/>
        </w:rPr>
        <w:t>完成了交通信息工程及控制广西重点学科、智能交通系统广西高校重点实验室、广西道路智能交通系统工程研究中心的建设工作。“数字建造与装配式建筑技术研究院”获批为广西2019年第一批广西装配式建筑示范基地；</w:t>
      </w:r>
      <w:r>
        <w:rPr>
          <w:rFonts w:hint="eastAsia" w:ascii="仿宋" w:hAnsi="仿宋" w:eastAsia="仿宋" w:cs="Times New Roman"/>
          <w:color w:val="000000"/>
          <w:sz w:val="32"/>
          <w:szCs w:val="32"/>
        </w:rPr>
        <w:t>2020年智慧建筑与人居环境工程研究中心获批广西工程研究中心；2021</w:t>
      </w:r>
      <w:r>
        <w:rPr>
          <w:rFonts w:hint="eastAsia" w:ascii="仿宋_GB2312" w:hAnsi="仿宋_GB2312" w:eastAsia="仿宋_GB2312" w:cs="仿宋_GB2312"/>
          <w:color w:val="000000" w:themeColor="text1"/>
          <w:sz w:val="32"/>
          <w:szCs w:val="32"/>
          <w14:textFill>
            <w14:solidFill>
              <w14:schemeClr w14:val="tx1"/>
            </w14:solidFill>
          </w14:textFill>
        </w:rPr>
        <w:t>年获批“新一代交通基础设施绿色智慧建管养技术及产业化创新联合体”，联合广西建工集团智慧制造有限公司共同申报获批 “广西智慧工地工程技术研究中心”；2022年学校指定学院申报广西重点实验室，目前正在走科技厅审批程序。</w:t>
      </w:r>
    </w:p>
    <w:p>
      <w:pPr>
        <w:spacing w:line="580"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5.科研和服务地方能力不断提升。</w:t>
      </w:r>
      <w:r>
        <w:rPr>
          <w:rFonts w:hint="eastAsia" w:ascii="仿宋_GB2312" w:hAnsi="Times New Roman" w:eastAsia="仿宋_GB2312" w:cs="Times New Roman"/>
          <w:kern w:val="0"/>
          <w:sz w:val="32"/>
          <w:szCs w:val="32"/>
        </w:rPr>
        <w:t>2018年以来学院获得</w:t>
      </w:r>
      <w:r>
        <w:rPr>
          <w:rFonts w:hint="eastAsia" w:ascii="仿宋_GB2312" w:hAnsi="仿宋_GB2312" w:eastAsia="仿宋_GB2312" w:cs="仿宋_GB2312"/>
          <w:color w:val="000000" w:themeColor="text1"/>
          <w:sz w:val="32"/>
          <w:szCs w:val="32"/>
          <w14:textFill>
            <w14:solidFill>
              <w14:schemeClr w14:val="tx1"/>
            </w14:solidFill>
          </w14:textFill>
        </w:rPr>
        <w:t>国家自然科学基金</w:t>
      </w:r>
      <w:r>
        <w:rPr>
          <w:rFonts w:ascii="仿宋_GB2312" w:hAnsi="仿宋_GB2312" w:eastAsia="仿宋_GB2312" w:cs="仿宋_GB2312"/>
          <w:color w:val="000000" w:themeColor="text1"/>
          <w:sz w:val="32"/>
          <w:szCs w:val="32"/>
          <w14:textFill>
            <w14:solidFill>
              <w14:schemeClr w14:val="tx1"/>
            </w14:solidFill>
          </w14:textFill>
        </w:rPr>
        <w:t>8</w:t>
      </w:r>
      <w:r>
        <w:rPr>
          <w:rFonts w:hint="eastAsia" w:ascii="仿宋_GB2312" w:hAnsi="仿宋_GB2312" w:eastAsia="仿宋_GB2312" w:cs="仿宋_GB2312"/>
          <w:color w:val="000000" w:themeColor="text1"/>
          <w:sz w:val="32"/>
          <w:szCs w:val="32"/>
          <w14:textFill>
            <w14:solidFill>
              <w14:schemeClr w14:val="tx1"/>
            </w14:solidFill>
          </w14:textFill>
        </w:rPr>
        <w:t>项，</w:t>
      </w:r>
      <w:r>
        <w:rPr>
          <w:rFonts w:hint="eastAsia" w:ascii="仿宋_GB2312" w:hAnsi="Times New Roman" w:eastAsia="仿宋_GB2312"/>
          <w:color w:val="000000"/>
          <w:sz w:val="32"/>
          <w:szCs w:val="32"/>
        </w:rPr>
        <w:t>参与获批广西创新驱动发展专项</w:t>
      </w:r>
      <w:r>
        <w:rPr>
          <w:rFonts w:ascii="仿宋_GB2312" w:hAnsi="Times New Roman" w:eastAsia="仿宋_GB2312"/>
          <w:color w:val="000000"/>
          <w:sz w:val="32"/>
          <w:szCs w:val="32"/>
        </w:rPr>
        <w:t>4</w:t>
      </w:r>
      <w:r>
        <w:rPr>
          <w:rFonts w:hint="eastAsia" w:ascii="仿宋_GB2312" w:hAnsi="Times New Roman" w:eastAsia="仿宋_GB2312"/>
          <w:color w:val="000000"/>
          <w:sz w:val="32"/>
          <w:szCs w:val="32"/>
        </w:rPr>
        <w:t>项，</w:t>
      </w:r>
      <w:r>
        <w:rPr>
          <w:rFonts w:hint="eastAsia" w:ascii="仿宋_GB2312" w:hAnsi="仿宋_GB2312" w:eastAsia="仿宋_GB2312" w:cs="仿宋_GB2312"/>
          <w:color w:val="000000" w:themeColor="text1"/>
          <w:sz w:val="32"/>
          <w:szCs w:val="32"/>
          <w14:textFill>
            <w14:solidFill>
              <w14:schemeClr w14:val="tx1"/>
            </w14:solidFill>
          </w14:textFill>
        </w:rPr>
        <w:t>广西重点研发计划、广西自然科学基金等省部级项目1</w:t>
      </w:r>
      <w:r>
        <w:rPr>
          <w:rFonts w:ascii="仿宋_GB2312" w:hAnsi="仿宋_GB2312" w:eastAsia="仿宋_GB2312" w:cs="仿宋_GB2312"/>
          <w:color w:val="000000" w:themeColor="text1"/>
          <w:sz w:val="32"/>
          <w:szCs w:val="32"/>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项，合计到位科研经费近</w:t>
      </w:r>
      <w:r>
        <w:rPr>
          <w:rFonts w:ascii="仿宋_GB2312" w:hAnsi="仿宋_GB2312" w:eastAsia="仿宋_GB2312" w:cs="仿宋_GB2312"/>
          <w:color w:val="000000" w:themeColor="text1"/>
          <w:sz w:val="32"/>
          <w:szCs w:val="32"/>
          <w14:textFill>
            <w14:solidFill>
              <w14:schemeClr w14:val="tx1"/>
            </w14:solidFill>
          </w14:textFill>
        </w:rPr>
        <w:t>220</w:t>
      </w:r>
      <w:r>
        <w:rPr>
          <w:rFonts w:hint="eastAsia" w:ascii="仿宋_GB2312" w:hAnsi="仿宋_GB2312" w:eastAsia="仿宋_GB2312" w:cs="仿宋_GB2312"/>
          <w:color w:val="000000" w:themeColor="text1"/>
          <w:sz w:val="32"/>
          <w:szCs w:val="32"/>
          <w14:textFill>
            <w14:solidFill>
              <w14:schemeClr w14:val="tx1"/>
            </w14:solidFill>
          </w14:textFill>
        </w:rPr>
        <w:t>0万元</w:t>
      </w:r>
      <w:r>
        <w:rPr>
          <w:rFonts w:hint="eastAsia" w:ascii="仿宋_GB2312" w:hAnsi="Times New Roman" w:eastAsia="仿宋_GB2312"/>
          <w:color w:val="000000"/>
          <w:sz w:val="32"/>
          <w:szCs w:val="32"/>
        </w:rPr>
        <w:t>，</w:t>
      </w:r>
      <w:r>
        <w:rPr>
          <w:rFonts w:hint="eastAsia" w:ascii="仿宋" w:hAnsi="仿宋" w:eastAsia="仿宋" w:cs="Times New Roman"/>
          <w:color w:val="000000"/>
          <w:sz w:val="32"/>
          <w:szCs w:val="32"/>
        </w:rPr>
        <w:t>获广西科技进步二等奖1项，三等奖2项。进一步加强产学研合作，</w:t>
      </w:r>
      <w:r>
        <w:rPr>
          <w:rFonts w:hint="eastAsia" w:ascii="仿宋_GB2312" w:hAnsi="仿宋_GB2312" w:eastAsia="仿宋_GB2312" w:cs="仿宋_GB2312"/>
          <w:color w:val="000000" w:themeColor="text1"/>
          <w:sz w:val="32"/>
          <w:szCs w:val="32"/>
          <w14:textFill>
            <w14:solidFill>
              <w14:schemeClr w14:val="tx1"/>
            </w14:solidFill>
          </w14:textFill>
        </w:rPr>
        <w:t>学院承担了广西交通文明畅通工程、广西交通强区示范项目、沙吴智慧高速示范工程、柳州智能网联汽车示范区、柳州城市轨道项目等20余项广西重大工程科研与服务工作，与东风柳州汽车有限公司、广西建工集团、广西北部湾投资有限公司、中路高科交通科技集团有限公司等多家头部企业签订了产学研合作协议。</w:t>
      </w:r>
    </w:p>
    <w:p>
      <w:pPr>
        <w:spacing w:line="580"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6.研究生规模和培养质量逐年提高。</w:t>
      </w:r>
      <w:r>
        <w:rPr>
          <w:rFonts w:hint="eastAsia" w:ascii="仿宋_GB2312" w:hAnsi="仿宋_GB2312" w:eastAsia="仿宋_GB2312" w:cs="仿宋_GB2312"/>
          <w:color w:val="000000" w:themeColor="text1"/>
          <w:sz w:val="32"/>
          <w:szCs w:val="32"/>
          <w14:textFill>
            <w14:solidFill>
              <w14:schemeClr w14:val="tx1"/>
            </w14:solidFill>
          </w14:textFill>
        </w:rPr>
        <w:t>研究生规模不断扩大，今年9月份开学后，在校研究生规模近230人。学生源质量进一步提高，一批次录取率、双一流录取率逐年提高。制定和完善研究生培养方案，获得</w:t>
      </w:r>
      <w:r>
        <w:rPr>
          <w:rFonts w:hint="eastAsia" w:ascii="仿宋" w:hAnsi="仿宋" w:eastAsia="仿宋" w:cs="Times New Roman"/>
          <w:color w:val="000000"/>
          <w:sz w:val="32"/>
          <w:szCs w:val="32"/>
        </w:rPr>
        <w:t>自治区级研究生联合培养基地3个、</w:t>
      </w:r>
      <w:r>
        <w:rPr>
          <w:rFonts w:hint="eastAsia" w:ascii="仿宋_GB2312" w:hAnsi="Times New Roman" w:eastAsia="仿宋_GB2312" w:cs="Times New Roman"/>
          <w:kern w:val="0"/>
          <w:sz w:val="32"/>
          <w:szCs w:val="32"/>
        </w:rPr>
        <w:t>校级联培基地2个</w:t>
      </w:r>
      <w:r>
        <w:rPr>
          <w:rFonts w:hint="eastAsia" w:ascii="仿宋" w:hAnsi="仿宋" w:eastAsia="仿宋" w:cs="Times New Roman"/>
          <w:color w:val="000000"/>
          <w:sz w:val="32"/>
          <w:szCs w:val="32"/>
        </w:rPr>
        <w:t>。</w:t>
      </w:r>
      <w:r>
        <w:rPr>
          <w:rFonts w:hint="eastAsia" w:ascii="仿宋_GB2312" w:hAnsi="Times New Roman" w:eastAsia="仿宋_GB2312" w:cs="Times New Roman"/>
          <w:kern w:val="0"/>
          <w:sz w:val="32"/>
          <w:szCs w:val="32"/>
        </w:rPr>
        <w:t>近年来</w:t>
      </w:r>
      <w:r>
        <w:rPr>
          <w:rFonts w:hint="eastAsia" w:ascii="仿宋_GB2312" w:hAnsi="仿宋_GB2312" w:eastAsia="仿宋_GB2312" w:cs="仿宋_GB2312"/>
          <w:color w:val="000000" w:themeColor="text1"/>
          <w:sz w:val="32"/>
          <w:szCs w:val="32"/>
          <w14:textFill>
            <w14:solidFill>
              <w14:schemeClr w14:val="tx1"/>
            </w14:solidFill>
          </w14:textFill>
        </w:rPr>
        <w:t>硕士学位论文抽检合格率100%，研究生一次就业率100%。</w:t>
      </w:r>
    </w:p>
    <w:p>
      <w:pPr>
        <w:spacing w:line="580" w:lineRule="exact"/>
        <w:ind w:firstLine="643" w:firstLineChars="200"/>
        <w:rPr>
          <w:rFonts w:ascii="仿宋_GB2312" w:hAnsi="仿宋_GB2312" w:eastAsia="仿宋_GB2312" w:cs="仿宋_GB2312"/>
          <w:color w:val="000000" w:themeColor="text1"/>
          <w:sz w:val="32"/>
          <w:szCs w:val="32"/>
          <w14:textFill>
            <w14:solidFill>
              <w14:schemeClr w14:val="tx1"/>
            </w14:solidFill>
          </w14:textFill>
        </w:rPr>
      </w:pPr>
      <w:r>
        <w:rPr>
          <w:rFonts w:hint="eastAsia" w:ascii="楷体" w:hAnsi="楷体" w:eastAsia="楷体" w:cs="楷体"/>
          <w:b/>
          <w:bCs/>
          <w:color w:val="000000" w:themeColor="text1"/>
          <w:sz w:val="32"/>
          <w:szCs w:val="32"/>
          <w14:textFill>
            <w14:solidFill>
              <w14:schemeClr w14:val="tx1"/>
            </w14:solidFill>
          </w14:textFill>
        </w:rPr>
        <w:t>7.人才队伍建设取得新突破。</w:t>
      </w:r>
      <w:r>
        <w:rPr>
          <w:rFonts w:hint="eastAsia" w:ascii="仿宋_GB2312" w:hAnsi="仿宋_GB2312" w:eastAsia="仿宋_GB2312" w:cs="仿宋_GB2312"/>
          <w:color w:val="000000" w:themeColor="text1"/>
          <w:sz w:val="32"/>
          <w:szCs w:val="32"/>
          <w14:textFill>
            <w14:solidFill>
              <w14:schemeClr w14:val="tx1"/>
            </w14:solidFill>
          </w14:textFill>
        </w:rPr>
        <w:t>坚持党管人才原则，师资队伍逐年扩大，目前教职工68人，专任教师中具有博士学位29人，2018年以来学院引陪具有博士学位的高层次人才</w:t>
      </w:r>
      <w:r>
        <w:rPr>
          <w:rFonts w:ascii="仿宋_GB2312" w:hAnsi="仿宋_GB2312" w:eastAsia="仿宋_GB2312" w:cs="仿宋_GB2312"/>
          <w:color w:val="000000" w:themeColor="text1"/>
          <w:sz w:val="32"/>
          <w:szCs w:val="32"/>
          <w14:textFill>
            <w14:solidFill>
              <w14:schemeClr w14:val="tx1"/>
            </w14:solidFill>
          </w14:textFill>
        </w:rPr>
        <w:t>21</w:t>
      </w:r>
      <w:r>
        <w:rPr>
          <w:rFonts w:hint="eastAsia" w:ascii="仿宋_GB2312" w:hAnsi="仿宋_GB2312" w:eastAsia="仿宋_GB2312" w:cs="仿宋_GB2312"/>
          <w:color w:val="000000" w:themeColor="text1"/>
          <w:sz w:val="32"/>
          <w:szCs w:val="32"/>
          <w14:textFill>
            <w14:solidFill>
              <w14:schemeClr w14:val="tx1"/>
            </w14:solidFill>
          </w14:textFill>
        </w:rPr>
        <w:t>名，专任教师博士化率5</w:t>
      </w:r>
      <w:r>
        <w:rPr>
          <w:rFonts w:ascii="仿宋_GB2312" w:hAnsi="仿宋_GB2312" w:eastAsia="仿宋_GB2312" w:cs="仿宋_GB2312"/>
          <w:color w:val="000000" w:themeColor="text1"/>
          <w:sz w:val="32"/>
          <w:szCs w:val="32"/>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%；新</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增</w:t>
      </w:r>
      <w:r>
        <w:rPr>
          <w:rFonts w:hint="eastAsia" w:ascii="仿宋_GB2312" w:hAnsi="仿宋_GB2312" w:eastAsia="仿宋_GB2312" w:cs="仿宋_GB2312"/>
          <w:color w:val="000000" w:themeColor="text1"/>
          <w:sz w:val="32"/>
          <w:szCs w:val="32"/>
          <w14:textFill>
            <w14:solidFill>
              <w14:schemeClr w14:val="tx1"/>
            </w14:solidFill>
          </w14:textFill>
        </w:rPr>
        <w:t>正高职称</w:t>
      </w:r>
      <w:r>
        <w:rPr>
          <w:rFonts w:ascii="仿宋_GB2312" w:hAnsi="仿宋_GB2312" w:eastAsia="仿宋_GB2312" w:cs="仿宋_GB2312"/>
          <w:color w:val="000000" w:themeColor="text1"/>
          <w:sz w:val="32"/>
          <w:szCs w:val="32"/>
          <w14:textFill>
            <w14:solidFill>
              <w14:schemeClr w14:val="tx1"/>
            </w14:solidFill>
          </w14:textFill>
        </w:rPr>
        <w:t>6</w:t>
      </w:r>
      <w:r>
        <w:rPr>
          <w:rFonts w:hint="eastAsia" w:ascii="仿宋_GB2312" w:hAnsi="仿宋_GB2312" w:eastAsia="仿宋_GB2312" w:cs="仿宋_GB2312"/>
          <w:color w:val="000000" w:themeColor="text1"/>
          <w:sz w:val="32"/>
          <w:szCs w:val="32"/>
          <w14:textFill>
            <w14:solidFill>
              <w14:schemeClr w14:val="tx1"/>
            </w14:solidFill>
          </w14:textFill>
        </w:rPr>
        <w:t>人，副高职称13人，博士生导师2人，</w:t>
      </w:r>
      <w:r>
        <w:rPr>
          <w:rFonts w:hint="eastAsia" w:ascii="仿宋" w:hAnsi="仿宋" w:eastAsia="仿宋" w:cs="Times New Roman"/>
          <w:color w:val="000000"/>
          <w:sz w:val="32"/>
          <w:szCs w:val="32"/>
        </w:rPr>
        <w:t>陈艺文获得第九届广西高校辅导员素质能力大赛一等奖（全校唯一），</w:t>
      </w:r>
      <w:r>
        <w:rPr>
          <w:rFonts w:hint="eastAsia" w:ascii="仿宋_GB2312" w:hAnsi="仿宋_GB2312" w:eastAsia="仿宋_GB2312" w:cs="仿宋_GB2312"/>
          <w:color w:val="000000" w:themeColor="text1"/>
          <w:sz w:val="32"/>
          <w:szCs w:val="32"/>
          <w14:textFill>
            <w14:solidFill>
              <w14:schemeClr w14:val="tx1"/>
            </w14:solidFill>
          </w14:textFill>
        </w:rPr>
        <w:t>人才工作取得显著成效。</w:t>
      </w:r>
    </w:p>
    <w:p>
      <w:pPr>
        <w:spacing w:line="580" w:lineRule="exact"/>
        <w:ind w:firstLine="643" w:firstLineChars="200"/>
        <w:rPr>
          <w:rFonts w:ascii="仿宋_GB2312" w:hAnsi="仿宋_GB2312" w:eastAsia="仿宋_GB2312" w:cs="仿宋_GB2312"/>
          <w:color w:val="000000"/>
          <w:sz w:val="32"/>
          <w:szCs w:val="32"/>
        </w:rPr>
      </w:pPr>
      <w:r>
        <w:rPr>
          <w:rFonts w:hint="eastAsia" w:ascii="楷体" w:hAnsi="楷体" w:eastAsia="楷体" w:cs="楷体"/>
          <w:b/>
          <w:bCs/>
          <w:color w:val="000000" w:themeColor="text1"/>
          <w:sz w:val="32"/>
          <w:szCs w:val="32"/>
          <w14:textFill>
            <w14:solidFill>
              <w14:schemeClr w14:val="tx1"/>
            </w14:solidFill>
          </w14:textFill>
        </w:rPr>
        <w:t>8.学院办学条件逐年改善。</w:t>
      </w:r>
      <w:r>
        <w:rPr>
          <w:rFonts w:hint="eastAsia" w:ascii="仿宋_GB2312" w:hAnsi="仿宋_GB2312" w:eastAsia="仿宋_GB2312" w:cs="仿宋_GB2312"/>
          <w:color w:val="000000"/>
          <w:sz w:val="32"/>
          <w:szCs w:val="32"/>
        </w:rPr>
        <w:t>2018年学院搬入建交大楼，2020年完成五楼研究生工作室装修改造，今年土木结构大厅地锚钩和反力墙建设完成施工建设，即将投入使用，学院大楼办公环境和人文氛围明显改善。推进校院二级管理，提升管党治院的水平能力，2020年、2021年连续两年学院年终考核获评优秀，教职工待遇逐年提升，幸福感和获得感显著增强。</w:t>
      </w:r>
    </w:p>
    <w:p>
      <w:pPr>
        <w:spacing w:line="580" w:lineRule="exact"/>
        <w:ind w:firstLine="640" w:firstLineChars="200"/>
        <w:rPr>
          <w:rFonts w:ascii="黑体" w:hAnsi="黑体" w:eastAsia="黑体" w:cs="黑体"/>
          <w:bCs/>
          <w:color w:val="000000" w:themeColor="text1"/>
          <w:sz w:val="32"/>
          <w:szCs w:val="32"/>
          <w14:textFill>
            <w14:solidFill>
              <w14:schemeClr w14:val="tx1"/>
            </w14:solidFill>
          </w14:textFill>
        </w:rPr>
      </w:pPr>
      <w:r>
        <w:rPr>
          <w:rFonts w:hint="eastAsia" w:ascii="黑体" w:hAnsi="黑体" w:eastAsia="黑体" w:cs="黑体"/>
          <w:bCs/>
          <w:color w:val="000000" w:themeColor="text1"/>
          <w:sz w:val="32"/>
          <w:szCs w:val="32"/>
          <w14:textFill>
            <w14:solidFill>
              <w14:schemeClr w14:val="tx1"/>
            </w14:solidFill>
          </w14:textFill>
        </w:rPr>
        <w:t>三、存在不足和今后努力的方向</w:t>
      </w:r>
    </w:p>
    <w:p>
      <w:pPr>
        <w:spacing w:line="580" w:lineRule="exact"/>
        <w:ind w:firstLine="640" w:firstLineChars="2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在取得以上成绩的同时，领导班子也清醒地认识到学院</w:t>
      </w:r>
      <w:r>
        <w:rPr>
          <w:rFonts w:ascii="仿宋_GB2312" w:hAnsi="仿宋_GB2312" w:eastAsia="仿宋_GB2312" w:cs="仿宋_GB2312"/>
          <w:color w:val="000000"/>
          <w:sz w:val="32"/>
          <w:szCs w:val="32"/>
        </w:rPr>
        <w:t>的改革发展还面临不少困难和问题，主要有：</w:t>
      </w:r>
      <w:r>
        <w:rPr>
          <w:rFonts w:hint="eastAsia" w:ascii="仿宋_GB2312" w:hAnsi="仿宋_GB2312" w:eastAsia="仿宋_GB2312" w:cs="仿宋_GB2312"/>
          <w:b/>
          <w:bCs/>
          <w:color w:val="000000"/>
          <w:sz w:val="32"/>
          <w:szCs w:val="32"/>
        </w:rPr>
        <w:t>一是</w:t>
      </w:r>
      <w:r>
        <w:rPr>
          <w:rFonts w:ascii="仿宋_GB2312" w:hAnsi="仿宋_GB2312" w:eastAsia="仿宋_GB2312" w:cs="仿宋_GB2312"/>
          <w:color w:val="000000"/>
          <w:sz w:val="32"/>
          <w:szCs w:val="32"/>
        </w:rPr>
        <w:t>落实立德树人根本任务的力度还需加大，“三全育人”的协同效应还不够明显，课程思政建设还需进一步推进。</w:t>
      </w:r>
      <w:r>
        <w:rPr>
          <w:rFonts w:hint="eastAsia" w:ascii="仿宋_GB2312" w:hAnsi="仿宋_GB2312" w:eastAsia="仿宋_GB2312" w:cs="仿宋_GB2312"/>
          <w:b/>
          <w:bCs/>
          <w:color w:val="000000"/>
          <w:sz w:val="32"/>
          <w:szCs w:val="32"/>
        </w:rPr>
        <w:t>二是</w:t>
      </w:r>
      <w:r>
        <w:rPr>
          <w:rFonts w:ascii="仿宋_GB2312" w:hAnsi="仿宋_GB2312" w:eastAsia="仿宋_GB2312" w:cs="仿宋_GB2312"/>
          <w:color w:val="000000"/>
          <w:sz w:val="32"/>
          <w:szCs w:val="32"/>
        </w:rPr>
        <w:t>人才</w:t>
      </w:r>
      <w:r>
        <w:rPr>
          <w:rFonts w:hint="eastAsia" w:ascii="仿宋_GB2312" w:hAnsi="仿宋_GB2312" w:eastAsia="仿宋_GB2312" w:cs="仿宋_GB2312"/>
          <w:color w:val="000000"/>
          <w:sz w:val="32"/>
          <w:szCs w:val="32"/>
        </w:rPr>
        <w:t>队伍建设有待进一步加强</w:t>
      </w:r>
      <w:r>
        <w:rPr>
          <w:rFonts w:ascii="仿宋_GB2312" w:hAnsi="仿宋_GB2312" w:eastAsia="仿宋_GB2312" w:cs="仿宋_GB2312"/>
          <w:color w:val="000000"/>
          <w:sz w:val="32"/>
          <w:szCs w:val="32"/>
        </w:rPr>
        <w:t>，高层次拔尖人才队伍与</w:t>
      </w:r>
      <w:r>
        <w:rPr>
          <w:rFonts w:hint="eastAsia" w:ascii="仿宋_GB2312" w:hAnsi="仿宋_GB2312" w:eastAsia="仿宋_GB2312" w:cs="仿宋_GB2312"/>
          <w:color w:val="000000"/>
          <w:sz w:val="32"/>
          <w:szCs w:val="32"/>
        </w:rPr>
        <w:t>学院高质量发展</w:t>
      </w:r>
      <w:r>
        <w:rPr>
          <w:rFonts w:ascii="仿宋_GB2312" w:hAnsi="仿宋_GB2312" w:eastAsia="仿宋_GB2312" w:cs="仿宋_GB2312"/>
          <w:color w:val="000000"/>
          <w:sz w:val="32"/>
          <w:szCs w:val="32"/>
        </w:rPr>
        <w:t>目标还有较大差距，</w:t>
      </w:r>
      <w:r>
        <w:rPr>
          <w:rFonts w:hint="eastAsia" w:ascii="仿宋_GB2312" w:hAnsi="仿宋_GB2312" w:eastAsia="仿宋_GB2312" w:cs="仿宋_GB2312"/>
          <w:color w:val="000000"/>
          <w:sz w:val="32"/>
          <w:szCs w:val="32"/>
        </w:rPr>
        <w:t>学科方向凝练和团队建设尚在起步阶段，学院标志性科研成果、标志性教学成果还有待进一步突破，与“双一流”建设目标需求还远远得不到满足</w:t>
      </w:r>
      <w:r>
        <w:rPr>
          <w:rFonts w:ascii="仿宋_GB2312" w:hAnsi="仿宋_GB2312" w:eastAsia="仿宋_GB2312" w:cs="仿宋_GB2312"/>
          <w:color w:val="000000"/>
          <w:sz w:val="32"/>
          <w:szCs w:val="32"/>
        </w:rPr>
        <w:t>。</w:t>
      </w:r>
      <w:r>
        <w:rPr>
          <w:rFonts w:hint="eastAsia" w:ascii="仿宋_GB2312" w:hAnsi="仿宋_GB2312" w:eastAsia="仿宋_GB2312" w:cs="仿宋_GB2312"/>
          <w:b/>
          <w:bCs/>
          <w:color w:val="000000"/>
          <w:sz w:val="32"/>
          <w:szCs w:val="32"/>
        </w:rPr>
        <w:t>三是</w:t>
      </w:r>
      <w:r>
        <w:rPr>
          <w:rFonts w:hint="eastAsia" w:ascii="仿宋_GB2312" w:hAnsi="仿宋_GB2312" w:eastAsia="仿宋_GB2312" w:cs="仿宋_GB2312"/>
          <w:color w:val="000000"/>
          <w:sz w:val="32"/>
          <w:szCs w:val="32"/>
        </w:rPr>
        <w:t>学院管党治院能力还有</w:t>
      </w:r>
      <w:r>
        <w:rPr>
          <w:rFonts w:ascii="仿宋_GB2312" w:hAnsi="仿宋_GB2312" w:eastAsia="仿宋_GB2312" w:cs="仿宋_GB2312"/>
          <w:color w:val="000000"/>
          <w:sz w:val="32"/>
          <w:szCs w:val="32"/>
        </w:rPr>
        <w:t>待进一步</w:t>
      </w:r>
      <w:r>
        <w:rPr>
          <w:rFonts w:hint="eastAsia" w:ascii="仿宋_GB2312" w:hAnsi="仿宋_GB2312" w:eastAsia="仿宋_GB2312" w:cs="仿宋_GB2312"/>
          <w:color w:val="000000"/>
          <w:sz w:val="32"/>
          <w:szCs w:val="32"/>
        </w:rPr>
        <w:t>提升</w:t>
      </w:r>
      <w:r>
        <w:rPr>
          <w:rFonts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rPr>
        <w:t>内部治理体系有待进一步完善，通过岗位聘任、绩效分配进一步调动和激励教职工的积极性的工作机制还有待进一步优化</w:t>
      </w:r>
      <w:r>
        <w:rPr>
          <w:rFonts w:ascii="仿宋_GB2312" w:hAnsi="仿宋_GB2312" w:eastAsia="仿宋_GB2312" w:cs="仿宋_GB2312"/>
          <w:color w:val="000000"/>
          <w:sz w:val="32"/>
          <w:szCs w:val="32"/>
        </w:rPr>
        <w:t xml:space="preserve">。 </w:t>
      </w:r>
    </w:p>
    <w:p>
      <w:pPr>
        <w:widowControl/>
        <w:spacing w:line="580" w:lineRule="exact"/>
        <w:ind w:firstLine="640" w:firstLineChars="200"/>
        <w:jc w:val="left"/>
        <w:rPr>
          <w:rFonts w:ascii="仿宋_GB2312" w:hAnsi="仿宋_GB2312" w:eastAsia="仿宋_GB2312" w:cs="仿宋_GB2312"/>
          <w:color w:val="000000"/>
          <w:sz w:val="32"/>
          <w:szCs w:val="32"/>
        </w:rPr>
      </w:pPr>
      <w:r>
        <w:rPr>
          <w:rFonts w:ascii="仿宋_GB2312" w:hAnsi="仿宋_GB2312" w:eastAsia="仿宋_GB2312" w:cs="仿宋_GB2312"/>
          <w:color w:val="000000"/>
          <w:sz w:val="32"/>
          <w:szCs w:val="32"/>
        </w:rPr>
        <w:t>下一步，我们将继续以习近平新时代中国特色社会主义思想为指导，秉承“起步就要提速，开局就要争先”的理念，强化问题导向，发扬奋斗精神，进一步开拓进取、攻坚克难，推动</w:t>
      </w:r>
      <w:r>
        <w:rPr>
          <w:rFonts w:hint="eastAsia" w:ascii="仿宋_GB2312" w:hAnsi="仿宋_GB2312" w:eastAsia="仿宋_GB2312" w:cs="仿宋_GB2312"/>
          <w:color w:val="000000"/>
          <w:sz w:val="32"/>
          <w:szCs w:val="32"/>
        </w:rPr>
        <w:t>学院</w:t>
      </w:r>
      <w:r>
        <w:rPr>
          <w:rFonts w:ascii="仿宋_GB2312" w:hAnsi="仿宋_GB2312" w:eastAsia="仿宋_GB2312" w:cs="仿宋_GB2312"/>
          <w:color w:val="000000"/>
          <w:sz w:val="32"/>
          <w:szCs w:val="32"/>
        </w:rPr>
        <w:t>事业高质量发展，</w:t>
      </w:r>
      <w:r>
        <w:rPr>
          <w:rFonts w:hint="eastAsia" w:ascii="仿宋_GB2312" w:hAnsi="仿宋_GB2312" w:eastAsia="仿宋_GB2312" w:cs="仿宋_GB2312"/>
          <w:color w:val="000000"/>
          <w:sz w:val="32"/>
          <w:szCs w:val="32"/>
        </w:rPr>
        <w:t>为</w:t>
      </w:r>
      <w:r>
        <w:rPr>
          <w:rFonts w:ascii="仿宋_GB2312" w:hAnsi="宋体" w:eastAsia="仿宋_GB2312" w:cs="仿宋_GB2312"/>
          <w:color w:val="000000"/>
          <w:kern w:val="0"/>
          <w:sz w:val="32"/>
          <w:szCs w:val="32"/>
          <w:lang w:bidi="ar"/>
        </w:rPr>
        <w:t>建成电子信息特色鲜明的国内高水平大学</w:t>
      </w:r>
      <w:r>
        <w:rPr>
          <w:rFonts w:ascii="仿宋_GB2312" w:hAnsi="仿宋_GB2312" w:eastAsia="仿宋_GB2312" w:cs="仿宋_GB2312"/>
          <w:color w:val="000000"/>
          <w:sz w:val="32"/>
          <w:szCs w:val="32"/>
        </w:rPr>
        <w:t>做出</w:t>
      </w:r>
      <w:r>
        <w:rPr>
          <w:rFonts w:hint="eastAsia" w:ascii="仿宋_GB2312" w:hAnsi="仿宋_GB2312" w:eastAsia="仿宋_GB2312" w:cs="仿宋_GB2312"/>
          <w:color w:val="000000"/>
          <w:sz w:val="32"/>
          <w:szCs w:val="32"/>
        </w:rPr>
        <w:t>学院</w:t>
      </w:r>
      <w:r>
        <w:rPr>
          <w:rFonts w:ascii="仿宋_GB2312" w:hAnsi="仿宋_GB2312" w:eastAsia="仿宋_GB2312" w:cs="仿宋_GB2312"/>
          <w:color w:val="000000"/>
          <w:sz w:val="32"/>
          <w:szCs w:val="32"/>
        </w:rPr>
        <w:t>新的更大贡献</w:t>
      </w:r>
      <w:r>
        <w:rPr>
          <w:rFonts w:hint="eastAsia" w:ascii="仿宋_GB2312" w:hAnsi="仿宋_GB2312" w:eastAsia="仿宋_GB2312" w:cs="仿宋_GB2312"/>
          <w:color w:val="000000"/>
          <w:sz w:val="32"/>
          <w:szCs w:val="32"/>
        </w:rPr>
        <w:t>。</w:t>
      </w: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FlYmQ3NWE3YWM4NDU1OWRhZWM0ZmY4ZWMxYTcwMjAifQ=="/>
  </w:docVars>
  <w:rsids>
    <w:rsidRoot w:val="00A44A16"/>
    <w:rsid w:val="00007559"/>
    <w:rsid w:val="0008517B"/>
    <w:rsid w:val="000977EA"/>
    <w:rsid w:val="00122454"/>
    <w:rsid w:val="0013713E"/>
    <w:rsid w:val="00155316"/>
    <w:rsid w:val="001A1456"/>
    <w:rsid w:val="001A1A60"/>
    <w:rsid w:val="001E2FCA"/>
    <w:rsid w:val="0020418B"/>
    <w:rsid w:val="002A0966"/>
    <w:rsid w:val="002C6AA0"/>
    <w:rsid w:val="003118BF"/>
    <w:rsid w:val="003122A1"/>
    <w:rsid w:val="00376E14"/>
    <w:rsid w:val="00385647"/>
    <w:rsid w:val="003C4270"/>
    <w:rsid w:val="003E43A5"/>
    <w:rsid w:val="00484A9B"/>
    <w:rsid w:val="004962DC"/>
    <w:rsid w:val="004D6839"/>
    <w:rsid w:val="004E58F5"/>
    <w:rsid w:val="00510CED"/>
    <w:rsid w:val="00516333"/>
    <w:rsid w:val="0053746B"/>
    <w:rsid w:val="00566CBD"/>
    <w:rsid w:val="005937E0"/>
    <w:rsid w:val="00596AE3"/>
    <w:rsid w:val="005A6BEC"/>
    <w:rsid w:val="005B3324"/>
    <w:rsid w:val="005E1D80"/>
    <w:rsid w:val="00653FB6"/>
    <w:rsid w:val="00682721"/>
    <w:rsid w:val="006C0174"/>
    <w:rsid w:val="006C0614"/>
    <w:rsid w:val="006C2061"/>
    <w:rsid w:val="006C7E27"/>
    <w:rsid w:val="006D7672"/>
    <w:rsid w:val="0072635B"/>
    <w:rsid w:val="007333C2"/>
    <w:rsid w:val="00754AAB"/>
    <w:rsid w:val="00763CBA"/>
    <w:rsid w:val="007B153D"/>
    <w:rsid w:val="007F617C"/>
    <w:rsid w:val="00832B9F"/>
    <w:rsid w:val="00885350"/>
    <w:rsid w:val="008C589C"/>
    <w:rsid w:val="008D09B4"/>
    <w:rsid w:val="008E31BF"/>
    <w:rsid w:val="00924C04"/>
    <w:rsid w:val="009520F6"/>
    <w:rsid w:val="00957DFE"/>
    <w:rsid w:val="00966615"/>
    <w:rsid w:val="00982BC3"/>
    <w:rsid w:val="009B420C"/>
    <w:rsid w:val="00A2587A"/>
    <w:rsid w:val="00A324FC"/>
    <w:rsid w:val="00A44A16"/>
    <w:rsid w:val="00A6326F"/>
    <w:rsid w:val="00AF6004"/>
    <w:rsid w:val="00B95D1F"/>
    <w:rsid w:val="00BA3EC1"/>
    <w:rsid w:val="00BA724A"/>
    <w:rsid w:val="00BF4810"/>
    <w:rsid w:val="00C203A5"/>
    <w:rsid w:val="00C4758E"/>
    <w:rsid w:val="00C63369"/>
    <w:rsid w:val="00C85403"/>
    <w:rsid w:val="00C90356"/>
    <w:rsid w:val="00CC08F5"/>
    <w:rsid w:val="00D32AE7"/>
    <w:rsid w:val="00D530A9"/>
    <w:rsid w:val="00D63541"/>
    <w:rsid w:val="00D67140"/>
    <w:rsid w:val="00D7555D"/>
    <w:rsid w:val="00D92FC1"/>
    <w:rsid w:val="00D95EB4"/>
    <w:rsid w:val="00DA6DCE"/>
    <w:rsid w:val="00DB4F3F"/>
    <w:rsid w:val="00E50299"/>
    <w:rsid w:val="00E706BD"/>
    <w:rsid w:val="00EA6A3A"/>
    <w:rsid w:val="00EA7FA3"/>
    <w:rsid w:val="00ED1E00"/>
    <w:rsid w:val="00F73564"/>
    <w:rsid w:val="00FC661C"/>
    <w:rsid w:val="00FD157D"/>
    <w:rsid w:val="00FD7CB2"/>
    <w:rsid w:val="00FE7876"/>
    <w:rsid w:val="00FE7B90"/>
    <w:rsid w:val="03E312C3"/>
    <w:rsid w:val="06B36277"/>
    <w:rsid w:val="0D3B26D0"/>
    <w:rsid w:val="0E0227AD"/>
    <w:rsid w:val="127B490B"/>
    <w:rsid w:val="132418A9"/>
    <w:rsid w:val="18F37F5B"/>
    <w:rsid w:val="1A271ED9"/>
    <w:rsid w:val="246F6E6D"/>
    <w:rsid w:val="286D1026"/>
    <w:rsid w:val="2A1A0C43"/>
    <w:rsid w:val="33133CF2"/>
    <w:rsid w:val="33AF6D16"/>
    <w:rsid w:val="387C15FA"/>
    <w:rsid w:val="3D195EAA"/>
    <w:rsid w:val="3FE94202"/>
    <w:rsid w:val="41F33388"/>
    <w:rsid w:val="433D4ADA"/>
    <w:rsid w:val="45263CF8"/>
    <w:rsid w:val="465C3DFE"/>
    <w:rsid w:val="4716574A"/>
    <w:rsid w:val="473A0A0E"/>
    <w:rsid w:val="47BF50E5"/>
    <w:rsid w:val="48B83B87"/>
    <w:rsid w:val="496B2686"/>
    <w:rsid w:val="4A802E5A"/>
    <w:rsid w:val="4AA07A6B"/>
    <w:rsid w:val="4D83570F"/>
    <w:rsid w:val="4DC81E8A"/>
    <w:rsid w:val="4FF85C15"/>
    <w:rsid w:val="4FFA7D9F"/>
    <w:rsid w:val="504F44BA"/>
    <w:rsid w:val="50560E7A"/>
    <w:rsid w:val="5062479C"/>
    <w:rsid w:val="562E3294"/>
    <w:rsid w:val="56550FB2"/>
    <w:rsid w:val="5B972872"/>
    <w:rsid w:val="5BA8247B"/>
    <w:rsid w:val="5C1E1C39"/>
    <w:rsid w:val="5DB831E1"/>
    <w:rsid w:val="63B511B7"/>
    <w:rsid w:val="64F361B3"/>
    <w:rsid w:val="66EE7680"/>
    <w:rsid w:val="68701E42"/>
    <w:rsid w:val="68B8436C"/>
    <w:rsid w:val="6B7D0C11"/>
    <w:rsid w:val="6EA35BD5"/>
    <w:rsid w:val="70786490"/>
    <w:rsid w:val="72735014"/>
    <w:rsid w:val="72C06A9A"/>
    <w:rsid w:val="72D933DE"/>
    <w:rsid w:val="76C022B7"/>
    <w:rsid w:val="77163766"/>
    <w:rsid w:val="7787198E"/>
    <w:rsid w:val="77D31947"/>
    <w:rsid w:val="7880752D"/>
    <w:rsid w:val="78C70D77"/>
    <w:rsid w:val="7DDA3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9">
    <w:name w:val="Default Paragraph Font"/>
    <w:unhideWhenUsed/>
    <w:uiPriority w:val="1"/>
  </w:style>
  <w:style w:type="table" w:default="1" w:styleId="12">
    <w:name w:val="Normal Table"/>
    <w:unhideWhenUsed/>
    <w:uiPriority w:val="99"/>
    <w:tblPr>
      <w:tblLayout w:type="fixed"/>
      <w:tblCellMar>
        <w:top w:w="0" w:type="dxa"/>
        <w:left w:w="108" w:type="dxa"/>
        <w:bottom w:w="0" w:type="dxa"/>
        <w:right w:w="108" w:type="dxa"/>
      </w:tblCellMar>
    </w:tblPr>
  </w:style>
  <w:style w:type="paragraph" w:styleId="3">
    <w:name w:val="annotation subject"/>
    <w:basedOn w:val="4"/>
    <w:next w:val="4"/>
    <w:link w:val="17"/>
    <w:unhideWhenUsed/>
    <w:qFormat/>
    <w:uiPriority w:val="99"/>
    <w:rPr>
      <w:b/>
      <w:bCs/>
    </w:rPr>
  </w:style>
  <w:style w:type="paragraph" w:styleId="4">
    <w:name w:val="annotation text"/>
    <w:basedOn w:val="1"/>
    <w:link w:val="16"/>
    <w:unhideWhenUsed/>
    <w:qFormat/>
    <w:uiPriority w:val="99"/>
    <w:pPr>
      <w:jc w:val="left"/>
    </w:pPr>
  </w:style>
  <w:style w:type="paragraph" w:styleId="5">
    <w:name w:val="Balloon Text"/>
    <w:basedOn w:val="1"/>
    <w:link w:val="18"/>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annotation reference"/>
    <w:basedOn w:val="9"/>
    <w:unhideWhenUsed/>
    <w:qFormat/>
    <w:uiPriority w:val="99"/>
    <w:rPr>
      <w:sz w:val="21"/>
      <w:szCs w:val="21"/>
    </w:rPr>
  </w:style>
  <w:style w:type="table" w:styleId="13">
    <w:name w:val="Table Grid"/>
    <w:basedOn w:val="1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4">
    <w:name w:val="页眉 字符"/>
    <w:basedOn w:val="9"/>
    <w:link w:val="7"/>
    <w:qFormat/>
    <w:uiPriority w:val="99"/>
    <w:rPr>
      <w:sz w:val="18"/>
      <w:szCs w:val="18"/>
    </w:rPr>
  </w:style>
  <w:style w:type="character" w:customStyle="1" w:styleId="15">
    <w:name w:val="页脚 字符"/>
    <w:basedOn w:val="9"/>
    <w:link w:val="6"/>
    <w:qFormat/>
    <w:uiPriority w:val="99"/>
    <w:rPr>
      <w:sz w:val="18"/>
      <w:szCs w:val="18"/>
    </w:rPr>
  </w:style>
  <w:style w:type="character" w:customStyle="1" w:styleId="16">
    <w:name w:val="批注文字 字符"/>
    <w:basedOn w:val="9"/>
    <w:link w:val="4"/>
    <w:semiHidden/>
    <w:uiPriority w:val="99"/>
    <w:rPr>
      <w:rFonts w:asciiTheme="minorHAnsi" w:hAnsiTheme="minorHAnsi" w:eastAsiaTheme="minorEastAsia" w:cstheme="minorBidi"/>
      <w:kern w:val="2"/>
      <w:sz w:val="21"/>
      <w:szCs w:val="22"/>
    </w:rPr>
  </w:style>
  <w:style w:type="character" w:customStyle="1" w:styleId="17">
    <w:name w:val="批注主题 字符"/>
    <w:basedOn w:val="16"/>
    <w:link w:val="3"/>
    <w:semiHidden/>
    <w:qFormat/>
    <w:uiPriority w:val="99"/>
    <w:rPr>
      <w:rFonts w:asciiTheme="minorHAnsi" w:hAnsiTheme="minorHAnsi" w:eastAsiaTheme="minorEastAsia" w:cstheme="minorBidi"/>
      <w:b/>
      <w:bCs/>
      <w:kern w:val="2"/>
      <w:sz w:val="21"/>
      <w:szCs w:val="22"/>
    </w:rPr>
  </w:style>
  <w:style w:type="character" w:customStyle="1" w:styleId="18">
    <w:name w:val="批注框文本 字符"/>
    <w:basedOn w:val="9"/>
    <w:link w:val="5"/>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422</Words>
  <Characters>2406</Characters>
  <Lines>20</Lines>
  <Paragraphs>5</Paragraphs>
  <TotalTime>0</TotalTime>
  <ScaleCrop>false</ScaleCrop>
  <LinksUpToDate>false</LinksUpToDate>
  <CharactersWithSpaces>2823</CharactersWithSpaces>
  <Application>WPS Office_10.8.0.6108_F1E327BC-269C-435d-A152-05C5408002CA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2021-12-06T01:38:00Z</dcterms:created>
  <dc:creator>王 涛</dc:creator>
  <cp:lastModifiedBy>cww</cp:lastModifiedBy>
  <cp:lastPrinted>2020-12-14T09:43:00Z</cp:lastPrinted>
  <dcterms:modified xsi:type="dcterms:W3CDTF">2022-06-08T06:42:07Z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2052-10.8.0.6108</vt:lpwstr>
  </property>
  <property fmtid="{D5CDD505-2E9C-101B-9397-08002B2CF9AE}" pid="3" name="ICV">
    <vt:lpwstr>51EC9D92D5024A1B87B6B7E6FC456766</vt:lpwstr>
  </property>
</Properties>
</file>