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46832">
      <w:pPr>
        <w:snapToGrid w:val="0"/>
        <w:spacing w:line="360" w:lineRule="exact"/>
        <w:jc w:val="center"/>
        <w:rPr>
          <w:rFonts w:ascii="宋体" w:hAnsi="宋体"/>
          <w:b/>
          <w:bCs/>
          <w:sz w:val="36"/>
          <w:szCs w:val="36"/>
        </w:rPr>
      </w:pPr>
      <w:r>
        <w:rPr>
          <w:rFonts w:hint="eastAsia" w:ascii="宋体" w:hAnsi="宋体"/>
          <w:b/>
          <w:bCs/>
          <w:sz w:val="36"/>
          <w:szCs w:val="36"/>
        </w:rPr>
        <w:t>《采购合同》</w:t>
      </w:r>
    </w:p>
    <w:p w14:paraId="009E1266">
      <w:pPr>
        <w:snapToGrid w:val="0"/>
        <w:spacing w:line="360" w:lineRule="exact"/>
        <w:ind w:right="480" w:firstLine="6720" w:firstLineChars="3200"/>
        <w:rPr>
          <w:rFonts w:ascii="仿宋_GB2312" w:hAnsi="宋体" w:eastAsia="仿宋_GB2312"/>
          <w:bCs/>
          <w:szCs w:val="21"/>
          <w:u w:val="single"/>
        </w:rPr>
      </w:pPr>
      <w:r>
        <w:rPr>
          <w:rFonts w:hint="eastAsia" w:ascii="仿宋_GB2312" w:hAnsi="宋体" w:eastAsia="仿宋_GB2312"/>
          <w:bCs/>
          <w:szCs w:val="21"/>
        </w:rPr>
        <w:t>校内合同编号：</w:t>
      </w:r>
    </w:p>
    <w:p w14:paraId="41049B2C">
      <w:pPr>
        <w:snapToGrid w:val="0"/>
        <w:spacing w:line="360" w:lineRule="exact"/>
        <w:rPr>
          <w:rFonts w:ascii="仿宋_GB2312" w:hAnsi="宋体" w:eastAsia="仿宋_GB2312"/>
          <w:szCs w:val="21"/>
        </w:rPr>
      </w:pPr>
    </w:p>
    <w:p w14:paraId="466306D5">
      <w:pPr>
        <w:snapToGrid w:val="0"/>
        <w:spacing w:line="36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桂林电子科技大学     </w:t>
      </w:r>
    </w:p>
    <w:p w14:paraId="424FD4D3">
      <w:pPr>
        <w:snapToGrid w:val="0"/>
        <w:spacing w:line="360" w:lineRule="exact"/>
        <w:rPr>
          <w:rFonts w:hint="eastAsia" w:ascii="宋体" w:hAnsi="宋体"/>
          <w:szCs w:val="21"/>
          <w:u w:val="single"/>
        </w:rPr>
      </w:pPr>
      <w:r>
        <w:rPr>
          <w:rFonts w:hint="eastAsia" w:ascii="宋体" w:hAnsi="宋体"/>
          <w:szCs w:val="21"/>
        </w:rPr>
        <w:t xml:space="preserve">乙方（全称）： </w:t>
      </w:r>
      <w:r>
        <w:rPr>
          <w:rFonts w:hint="eastAsia" w:ascii="宋体" w:hAnsi="宋体"/>
          <w:szCs w:val="21"/>
          <w:u w:val="single"/>
        </w:rPr>
        <w:t xml:space="preserve">（供应商）           </w:t>
      </w:r>
      <w:bookmarkStart w:id="1" w:name="_GoBack"/>
      <w:bookmarkEnd w:id="1"/>
    </w:p>
    <w:p w14:paraId="5707B1D3">
      <w:pPr>
        <w:snapToGrid w:val="0"/>
        <w:spacing w:line="360" w:lineRule="exact"/>
        <w:rPr>
          <w:rFonts w:hint="default" w:ascii="宋体" w:hAnsi="宋体" w:eastAsia="宋体"/>
          <w:szCs w:val="21"/>
          <w:u w:val="single"/>
          <w:lang w:val="en-US" w:eastAsia="zh-CN"/>
        </w:rPr>
      </w:pPr>
      <w:r>
        <w:rPr>
          <w:rFonts w:hint="eastAsia" w:ascii="宋体" w:hAnsi="宋体"/>
          <w:szCs w:val="21"/>
        </w:rPr>
        <w:t xml:space="preserve">签订地点:  </w:t>
      </w:r>
      <w:r>
        <w:rPr>
          <w:rFonts w:hint="eastAsia" w:ascii="宋体" w:hAnsi="宋体"/>
          <w:szCs w:val="21"/>
          <w:u w:val="single"/>
        </w:rPr>
        <w:t xml:space="preserve">                  </w:t>
      </w:r>
      <w:r>
        <w:rPr>
          <w:rFonts w:hint="eastAsia" w:ascii="宋体" w:hAnsi="宋体"/>
          <w:szCs w:val="21"/>
        </w:rPr>
        <w:t xml:space="preserve">                     签订时间:</w:t>
      </w:r>
      <w:r>
        <w:rPr>
          <w:rFonts w:hint="eastAsia" w:ascii="宋体" w:hAnsi="宋体"/>
          <w:szCs w:val="21"/>
          <w:u w:val="single"/>
          <w:lang w:val="en-US" w:eastAsia="zh-CN"/>
        </w:rPr>
        <w:t xml:space="preserve">                  </w:t>
      </w:r>
    </w:p>
    <w:p w14:paraId="5100BD35">
      <w:pPr>
        <w:snapToGrid w:val="0"/>
        <w:spacing w:line="360" w:lineRule="exact"/>
        <w:ind w:firstLine="420" w:firstLineChars="200"/>
        <w:rPr>
          <w:rFonts w:ascii="宋体" w:hAnsi="宋体"/>
          <w:szCs w:val="21"/>
        </w:rPr>
      </w:pPr>
      <w:r>
        <w:rPr>
          <w:rFonts w:hint="eastAsia" w:ascii="宋体" w:hAnsi="宋体"/>
          <w:szCs w:val="21"/>
        </w:rPr>
        <w:t>根据《中华人民共和国政府采购法》、</w:t>
      </w:r>
      <w:r>
        <w:rPr>
          <w:rFonts w:hint="eastAsia" w:ascii="宋体" w:hAnsi="宋体"/>
        </w:rPr>
        <w:t>《中华人民共和国政府采购法实施条例》、</w:t>
      </w:r>
      <w:r>
        <w:rPr>
          <w:rFonts w:hint="eastAsia" w:ascii="宋体" w:hAnsi="宋体"/>
          <w:szCs w:val="21"/>
        </w:rPr>
        <w:t>《</w:t>
      </w:r>
      <w:r>
        <w:rPr>
          <w:rFonts w:ascii="Arial" w:hAnsi="Arial" w:cs="Arial"/>
          <w:szCs w:val="21"/>
          <w:shd w:val="clear" w:color="auto" w:fill="FFFFFF"/>
        </w:rPr>
        <w:t>中华人民共和国民法典</w:t>
      </w:r>
      <w:r>
        <w:rPr>
          <w:rFonts w:hint="eastAsia" w:ascii="宋体" w:hAnsi="宋体"/>
          <w:szCs w:val="21"/>
        </w:rPr>
        <w:t>》等法律、法规规定，甲乙双方协商同意签订本合同。</w:t>
      </w:r>
    </w:p>
    <w:p w14:paraId="5A4CE4A7">
      <w:pPr>
        <w:snapToGrid w:val="0"/>
        <w:spacing w:line="360" w:lineRule="exact"/>
        <w:rPr>
          <w:rFonts w:ascii="宋体" w:hAnsi="宋体"/>
          <w:b/>
          <w:szCs w:val="21"/>
        </w:rPr>
      </w:pPr>
      <w:r>
        <w:rPr>
          <w:rFonts w:hint="eastAsia" w:ascii="宋体" w:hAnsi="宋体"/>
          <w:b/>
          <w:szCs w:val="21"/>
        </w:rPr>
        <w:t>第一条　合同标的</w:t>
      </w:r>
    </w:p>
    <w:p w14:paraId="36379C28">
      <w:pPr>
        <w:snapToGrid w:val="0"/>
        <w:spacing w:line="360" w:lineRule="exact"/>
        <w:ind w:firstLine="315" w:firstLineChars="150"/>
        <w:rPr>
          <w:rFonts w:ascii="宋体" w:hAnsi="宋体"/>
          <w:szCs w:val="21"/>
        </w:rPr>
      </w:pPr>
      <w:r>
        <w:rPr>
          <w:rFonts w:hint="eastAsia" w:ascii="宋体" w:hAnsi="宋体"/>
          <w:szCs w:val="21"/>
        </w:rPr>
        <w:t>1.供货一览表</w:t>
      </w:r>
    </w:p>
    <w:tbl>
      <w:tblPr>
        <w:tblStyle w:val="8"/>
        <w:tblW w:w="9706"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701"/>
        <w:gridCol w:w="992"/>
        <w:gridCol w:w="1134"/>
        <w:gridCol w:w="851"/>
        <w:gridCol w:w="708"/>
        <w:gridCol w:w="709"/>
        <w:gridCol w:w="1016"/>
        <w:gridCol w:w="1564"/>
      </w:tblGrid>
      <w:tr w14:paraId="5DF23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031" w:type="dxa"/>
            <w:vAlign w:val="center"/>
          </w:tcPr>
          <w:p w14:paraId="64C6CD89">
            <w:pPr>
              <w:snapToGrid w:val="0"/>
              <w:spacing w:line="360" w:lineRule="exact"/>
              <w:jc w:val="center"/>
              <w:rPr>
                <w:rFonts w:ascii="宋体" w:hAnsi="宋体"/>
                <w:szCs w:val="21"/>
              </w:rPr>
            </w:pPr>
            <w:r>
              <w:rPr>
                <w:rFonts w:hint="eastAsia" w:ascii="宋体" w:hAnsi="宋体"/>
                <w:szCs w:val="21"/>
              </w:rPr>
              <w:t>项号</w:t>
            </w:r>
          </w:p>
        </w:tc>
        <w:tc>
          <w:tcPr>
            <w:tcW w:w="1701" w:type="dxa"/>
            <w:vAlign w:val="center"/>
          </w:tcPr>
          <w:p w14:paraId="2733ED0B">
            <w:pPr>
              <w:snapToGrid w:val="0"/>
              <w:spacing w:line="360" w:lineRule="exact"/>
              <w:jc w:val="center"/>
              <w:rPr>
                <w:rFonts w:ascii="宋体" w:hAnsi="宋体"/>
                <w:szCs w:val="21"/>
              </w:rPr>
            </w:pPr>
            <w:r>
              <w:rPr>
                <w:rFonts w:hint="eastAsia" w:ascii="宋体" w:hAnsi="宋体"/>
                <w:szCs w:val="21"/>
              </w:rPr>
              <w:t>货物名称</w:t>
            </w:r>
          </w:p>
        </w:tc>
        <w:tc>
          <w:tcPr>
            <w:tcW w:w="992" w:type="dxa"/>
            <w:vAlign w:val="center"/>
          </w:tcPr>
          <w:p w14:paraId="6CE640D9">
            <w:pPr>
              <w:snapToGrid w:val="0"/>
              <w:spacing w:line="360" w:lineRule="exact"/>
              <w:jc w:val="center"/>
              <w:rPr>
                <w:rFonts w:ascii="宋体" w:hAnsi="宋体"/>
                <w:szCs w:val="21"/>
              </w:rPr>
            </w:pPr>
            <w:r>
              <w:rPr>
                <w:rFonts w:hint="eastAsia" w:ascii="宋体" w:hAnsi="宋体"/>
                <w:szCs w:val="30"/>
              </w:rPr>
              <w:t>厂家、品牌</w:t>
            </w:r>
          </w:p>
        </w:tc>
        <w:tc>
          <w:tcPr>
            <w:tcW w:w="1134" w:type="dxa"/>
            <w:vAlign w:val="center"/>
          </w:tcPr>
          <w:p w14:paraId="7486B78F">
            <w:pPr>
              <w:snapToGrid w:val="0"/>
              <w:spacing w:line="360" w:lineRule="exact"/>
              <w:jc w:val="center"/>
              <w:rPr>
                <w:rFonts w:ascii="宋体" w:hAnsi="宋体"/>
                <w:szCs w:val="21"/>
              </w:rPr>
            </w:pPr>
            <w:r>
              <w:rPr>
                <w:rFonts w:hint="eastAsia" w:ascii="宋体" w:hAnsi="宋体"/>
                <w:szCs w:val="30"/>
              </w:rPr>
              <w:t>规格型号</w:t>
            </w:r>
          </w:p>
        </w:tc>
        <w:tc>
          <w:tcPr>
            <w:tcW w:w="851" w:type="dxa"/>
            <w:vAlign w:val="center"/>
          </w:tcPr>
          <w:p w14:paraId="32C0B633">
            <w:pPr>
              <w:snapToGrid w:val="0"/>
              <w:spacing w:line="360" w:lineRule="exact"/>
              <w:jc w:val="center"/>
              <w:rPr>
                <w:rFonts w:ascii="宋体" w:hAnsi="宋体"/>
                <w:szCs w:val="21"/>
              </w:rPr>
            </w:pPr>
            <w:r>
              <w:rPr>
                <w:rFonts w:hint="eastAsia" w:ascii="宋体"/>
                <w:szCs w:val="21"/>
              </w:rPr>
              <w:t>技术参数</w:t>
            </w:r>
          </w:p>
        </w:tc>
        <w:tc>
          <w:tcPr>
            <w:tcW w:w="708" w:type="dxa"/>
            <w:vAlign w:val="center"/>
          </w:tcPr>
          <w:p w14:paraId="0CBD6ABC">
            <w:pPr>
              <w:snapToGrid w:val="0"/>
              <w:spacing w:line="360" w:lineRule="exact"/>
              <w:jc w:val="center"/>
              <w:rPr>
                <w:rFonts w:ascii="宋体" w:hAnsi="宋体"/>
                <w:szCs w:val="21"/>
              </w:rPr>
            </w:pPr>
            <w:r>
              <w:rPr>
                <w:rFonts w:hint="eastAsia" w:ascii="宋体" w:hAnsi="宋体"/>
                <w:szCs w:val="21"/>
              </w:rPr>
              <w:t>数量</w:t>
            </w:r>
          </w:p>
          <w:p w14:paraId="79F86D9C">
            <w:pPr>
              <w:snapToGrid w:val="0"/>
              <w:spacing w:line="360" w:lineRule="exact"/>
              <w:jc w:val="center"/>
              <w:rPr>
                <w:rFonts w:ascii="宋体" w:hAnsi="宋体"/>
                <w:szCs w:val="21"/>
              </w:rPr>
            </w:pPr>
            <w:r>
              <w:rPr>
                <w:rFonts w:hint="eastAsia" w:ascii="宋体" w:hAnsi="宋体"/>
                <w:szCs w:val="21"/>
              </w:rPr>
              <w:t>①</w:t>
            </w:r>
          </w:p>
        </w:tc>
        <w:tc>
          <w:tcPr>
            <w:tcW w:w="709" w:type="dxa"/>
            <w:vAlign w:val="center"/>
          </w:tcPr>
          <w:p w14:paraId="0927C0EB">
            <w:pPr>
              <w:snapToGrid w:val="0"/>
              <w:spacing w:line="360" w:lineRule="exact"/>
              <w:jc w:val="center"/>
              <w:rPr>
                <w:rFonts w:ascii="宋体" w:hAnsi="宋体"/>
                <w:szCs w:val="21"/>
              </w:rPr>
            </w:pPr>
            <w:r>
              <w:rPr>
                <w:rFonts w:hint="eastAsia" w:ascii="宋体" w:hAnsi="宋体"/>
                <w:szCs w:val="21"/>
              </w:rPr>
              <w:t>单位</w:t>
            </w:r>
          </w:p>
        </w:tc>
        <w:tc>
          <w:tcPr>
            <w:tcW w:w="1016" w:type="dxa"/>
            <w:vAlign w:val="center"/>
          </w:tcPr>
          <w:p w14:paraId="63E19EBC">
            <w:pPr>
              <w:snapToGrid w:val="0"/>
              <w:spacing w:line="360" w:lineRule="exact"/>
              <w:jc w:val="center"/>
              <w:rPr>
                <w:rFonts w:ascii="宋体" w:hAnsi="宋体"/>
                <w:szCs w:val="21"/>
              </w:rPr>
            </w:pPr>
            <w:r>
              <w:rPr>
                <w:rFonts w:hint="eastAsia" w:ascii="宋体" w:hAnsi="宋体"/>
                <w:szCs w:val="21"/>
              </w:rPr>
              <w:t>单价（元）</w:t>
            </w:r>
          </w:p>
          <w:p w14:paraId="2E0A30C8">
            <w:pPr>
              <w:snapToGrid w:val="0"/>
              <w:spacing w:line="360" w:lineRule="exact"/>
              <w:jc w:val="center"/>
              <w:rPr>
                <w:rFonts w:ascii="宋体" w:hAnsi="宋体"/>
                <w:szCs w:val="21"/>
              </w:rPr>
            </w:pPr>
            <w:r>
              <w:rPr>
                <w:rFonts w:hint="eastAsia" w:ascii="宋体" w:hAnsi="宋体"/>
                <w:szCs w:val="21"/>
              </w:rPr>
              <w:t>②</w:t>
            </w:r>
          </w:p>
        </w:tc>
        <w:tc>
          <w:tcPr>
            <w:tcW w:w="1564" w:type="dxa"/>
            <w:vAlign w:val="center"/>
          </w:tcPr>
          <w:p w14:paraId="5E522EEE">
            <w:pPr>
              <w:snapToGrid w:val="0"/>
              <w:spacing w:line="360" w:lineRule="exact"/>
              <w:jc w:val="center"/>
              <w:rPr>
                <w:rFonts w:ascii="宋体" w:hAnsi="宋体"/>
                <w:szCs w:val="21"/>
              </w:rPr>
            </w:pPr>
            <w:r>
              <w:rPr>
                <w:rFonts w:hint="eastAsia" w:ascii="宋体" w:hAnsi="宋体"/>
                <w:b/>
                <w:szCs w:val="21"/>
              </w:rPr>
              <w:t>单项合计金额</w:t>
            </w:r>
            <w:r>
              <w:rPr>
                <w:rFonts w:hint="eastAsia" w:ascii="宋体" w:hAnsi="宋体"/>
                <w:szCs w:val="21"/>
              </w:rPr>
              <w:t>（元）</w:t>
            </w:r>
          </w:p>
          <w:p w14:paraId="376E291C">
            <w:pPr>
              <w:snapToGrid w:val="0"/>
              <w:spacing w:line="360" w:lineRule="exact"/>
              <w:jc w:val="center"/>
              <w:rPr>
                <w:rFonts w:ascii="宋体" w:hAnsi="宋体"/>
                <w:szCs w:val="21"/>
              </w:rPr>
            </w:pPr>
            <w:r>
              <w:rPr>
                <w:rFonts w:hint="eastAsia" w:ascii="宋体" w:hAnsi="宋体"/>
                <w:szCs w:val="21"/>
              </w:rPr>
              <w:t>③＝①×②</w:t>
            </w:r>
          </w:p>
        </w:tc>
      </w:tr>
      <w:tr w14:paraId="75D87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31" w:type="dxa"/>
            <w:vAlign w:val="center"/>
          </w:tcPr>
          <w:p w14:paraId="3F9BF19D">
            <w:pPr>
              <w:spacing w:line="360" w:lineRule="exact"/>
              <w:jc w:val="center"/>
              <w:rPr>
                <w:rFonts w:ascii="宋体" w:hAnsi="宋体" w:cs="宋体"/>
                <w:szCs w:val="21"/>
              </w:rPr>
            </w:pPr>
            <w:r>
              <w:rPr>
                <w:rFonts w:hint="eastAsia" w:ascii="宋体" w:hAnsi="宋体" w:cs="宋体"/>
                <w:szCs w:val="21"/>
              </w:rPr>
              <w:t>1</w:t>
            </w:r>
          </w:p>
        </w:tc>
        <w:tc>
          <w:tcPr>
            <w:tcW w:w="1701" w:type="dxa"/>
            <w:vAlign w:val="center"/>
          </w:tcPr>
          <w:p w14:paraId="033CA0BB">
            <w:pPr>
              <w:spacing w:line="360" w:lineRule="exact"/>
              <w:jc w:val="center"/>
              <w:rPr>
                <w:rFonts w:ascii="宋体" w:hAnsi="宋体" w:cs="宋体"/>
                <w:szCs w:val="21"/>
              </w:rPr>
            </w:pPr>
          </w:p>
        </w:tc>
        <w:tc>
          <w:tcPr>
            <w:tcW w:w="992" w:type="dxa"/>
            <w:vAlign w:val="center"/>
          </w:tcPr>
          <w:p w14:paraId="78A4B805">
            <w:pPr>
              <w:snapToGrid w:val="0"/>
              <w:spacing w:line="360" w:lineRule="exact"/>
              <w:rPr>
                <w:rFonts w:ascii="宋体" w:hAnsi="宋体"/>
                <w:szCs w:val="21"/>
              </w:rPr>
            </w:pPr>
          </w:p>
        </w:tc>
        <w:tc>
          <w:tcPr>
            <w:tcW w:w="1134" w:type="dxa"/>
            <w:vAlign w:val="center"/>
          </w:tcPr>
          <w:p w14:paraId="23BD2974">
            <w:pPr>
              <w:snapToGrid w:val="0"/>
              <w:spacing w:line="360" w:lineRule="exact"/>
              <w:rPr>
                <w:rFonts w:ascii="宋体" w:hAnsi="宋体"/>
                <w:szCs w:val="21"/>
              </w:rPr>
            </w:pPr>
          </w:p>
        </w:tc>
        <w:tc>
          <w:tcPr>
            <w:tcW w:w="851" w:type="dxa"/>
            <w:vAlign w:val="center"/>
          </w:tcPr>
          <w:p w14:paraId="75C71897">
            <w:pPr>
              <w:snapToGrid w:val="0"/>
              <w:spacing w:line="360" w:lineRule="exact"/>
              <w:rPr>
                <w:rFonts w:ascii="宋体" w:hAnsi="宋体"/>
                <w:szCs w:val="21"/>
              </w:rPr>
            </w:pPr>
          </w:p>
        </w:tc>
        <w:tc>
          <w:tcPr>
            <w:tcW w:w="708" w:type="dxa"/>
            <w:vAlign w:val="center"/>
          </w:tcPr>
          <w:p w14:paraId="48924A92">
            <w:pPr>
              <w:spacing w:line="360" w:lineRule="exact"/>
              <w:jc w:val="center"/>
              <w:rPr>
                <w:rFonts w:ascii="宋体" w:hAnsi="宋体" w:cs="宋体"/>
                <w:szCs w:val="21"/>
              </w:rPr>
            </w:pPr>
          </w:p>
        </w:tc>
        <w:tc>
          <w:tcPr>
            <w:tcW w:w="709" w:type="dxa"/>
            <w:vAlign w:val="center"/>
          </w:tcPr>
          <w:p w14:paraId="0E1AE3F1">
            <w:pPr>
              <w:spacing w:line="360" w:lineRule="exact"/>
              <w:jc w:val="center"/>
              <w:rPr>
                <w:rFonts w:ascii="宋体" w:hAnsi="宋体" w:cs="宋体"/>
                <w:szCs w:val="21"/>
              </w:rPr>
            </w:pPr>
          </w:p>
        </w:tc>
        <w:tc>
          <w:tcPr>
            <w:tcW w:w="1016" w:type="dxa"/>
            <w:vAlign w:val="center"/>
          </w:tcPr>
          <w:p w14:paraId="0609CDE3">
            <w:pPr>
              <w:snapToGrid w:val="0"/>
              <w:spacing w:line="360" w:lineRule="exact"/>
              <w:rPr>
                <w:rFonts w:ascii="宋体" w:hAnsi="宋体"/>
                <w:szCs w:val="21"/>
              </w:rPr>
            </w:pPr>
          </w:p>
        </w:tc>
        <w:tc>
          <w:tcPr>
            <w:tcW w:w="1564" w:type="dxa"/>
            <w:vAlign w:val="center"/>
          </w:tcPr>
          <w:p w14:paraId="50B1B73B">
            <w:pPr>
              <w:snapToGrid w:val="0"/>
              <w:spacing w:line="360" w:lineRule="exact"/>
              <w:rPr>
                <w:rFonts w:ascii="宋体" w:hAnsi="宋体"/>
                <w:szCs w:val="21"/>
              </w:rPr>
            </w:pPr>
          </w:p>
        </w:tc>
      </w:tr>
      <w:tr w14:paraId="0517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31" w:type="dxa"/>
            <w:vAlign w:val="center"/>
          </w:tcPr>
          <w:p w14:paraId="772F795B">
            <w:pPr>
              <w:spacing w:line="360" w:lineRule="exact"/>
              <w:jc w:val="center"/>
              <w:rPr>
                <w:rFonts w:ascii="宋体" w:hAnsi="宋体" w:cs="宋体"/>
                <w:szCs w:val="21"/>
              </w:rPr>
            </w:pPr>
            <w:r>
              <w:rPr>
                <w:rFonts w:hint="eastAsia" w:ascii="宋体" w:hAnsi="宋体" w:cs="宋体"/>
                <w:szCs w:val="21"/>
              </w:rPr>
              <w:t>2</w:t>
            </w:r>
          </w:p>
        </w:tc>
        <w:tc>
          <w:tcPr>
            <w:tcW w:w="1701" w:type="dxa"/>
            <w:vAlign w:val="center"/>
          </w:tcPr>
          <w:p w14:paraId="18F66AB4">
            <w:pPr>
              <w:spacing w:line="360" w:lineRule="exact"/>
              <w:jc w:val="center"/>
              <w:rPr>
                <w:rFonts w:ascii="宋体" w:hAnsi="宋体" w:cs="宋体"/>
                <w:szCs w:val="21"/>
              </w:rPr>
            </w:pPr>
          </w:p>
        </w:tc>
        <w:tc>
          <w:tcPr>
            <w:tcW w:w="992" w:type="dxa"/>
            <w:vAlign w:val="center"/>
          </w:tcPr>
          <w:p w14:paraId="1E0792D2">
            <w:pPr>
              <w:snapToGrid w:val="0"/>
              <w:spacing w:line="360" w:lineRule="exact"/>
              <w:rPr>
                <w:rFonts w:ascii="宋体" w:hAnsi="宋体"/>
                <w:szCs w:val="21"/>
              </w:rPr>
            </w:pPr>
          </w:p>
        </w:tc>
        <w:tc>
          <w:tcPr>
            <w:tcW w:w="1134" w:type="dxa"/>
            <w:vAlign w:val="center"/>
          </w:tcPr>
          <w:p w14:paraId="0AE4423F">
            <w:pPr>
              <w:snapToGrid w:val="0"/>
              <w:spacing w:line="360" w:lineRule="exact"/>
              <w:rPr>
                <w:rFonts w:ascii="宋体" w:hAnsi="宋体"/>
                <w:szCs w:val="21"/>
              </w:rPr>
            </w:pPr>
          </w:p>
        </w:tc>
        <w:tc>
          <w:tcPr>
            <w:tcW w:w="851" w:type="dxa"/>
            <w:vAlign w:val="center"/>
          </w:tcPr>
          <w:p w14:paraId="1CF7B222">
            <w:pPr>
              <w:snapToGrid w:val="0"/>
              <w:spacing w:line="360" w:lineRule="exact"/>
              <w:rPr>
                <w:rFonts w:ascii="宋体" w:hAnsi="宋体"/>
                <w:szCs w:val="21"/>
              </w:rPr>
            </w:pPr>
          </w:p>
        </w:tc>
        <w:tc>
          <w:tcPr>
            <w:tcW w:w="708" w:type="dxa"/>
            <w:vAlign w:val="center"/>
          </w:tcPr>
          <w:p w14:paraId="65CAF833">
            <w:pPr>
              <w:spacing w:line="360" w:lineRule="exact"/>
              <w:jc w:val="center"/>
              <w:rPr>
                <w:rFonts w:ascii="宋体" w:hAnsi="宋体" w:cs="宋体"/>
                <w:szCs w:val="21"/>
              </w:rPr>
            </w:pPr>
          </w:p>
        </w:tc>
        <w:tc>
          <w:tcPr>
            <w:tcW w:w="709" w:type="dxa"/>
            <w:vAlign w:val="center"/>
          </w:tcPr>
          <w:p w14:paraId="594DD1CD">
            <w:pPr>
              <w:spacing w:line="360" w:lineRule="exact"/>
              <w:jc w:val="center"/>
              <w:rPr>
                <w:rFonts w:ascii="宋体" w:hAnsi="宋体" w:cs="宋体"/>
                <w:szCs w:val="21"/>
              </w:rPr>
            </w:pPr>
          </w:p>
        </w:tc>
        <w:tc>
          <w:tcPr>
            <w:tcW w:w="1016" w:type="dxa"/>
            <w:vAlign w:val="center"/>
          </w:tcPr>
          <w:p w14:paraId="69B94D9B">
            <w:pPr>
              <w:snapToGrid w:val="0"/>
              <w:spacing w:line="360" w:lineRule="exact"/>
              <w:rPr>
                <w:rFonts w:ascii="宋体" w:hAnsi="宋体"/>
                <w:szCs w:val="21"/>
              </w:rPr>
            </w:pPr>
          </w:p>
        </w:tc>
        <w:tc>
          <w:tcPr>
            <w:tcW w:w="1564" w:type="dxa"/>
            <w:vAlign w:val="center"/>
          </w:tcPr>
          <w:p w14:paraId="1A1E5C76">
            <w:pPr>
              <w:snapToGrid w:val="0"/>
              <w:spacing w:line="360" w:lineRule="exact"/>
              <w:rPr>
                <w:rFonts w:ascii="宋体" w:hAnsi="宋体"/>
                <w:szCs w:val="21"/>
              </w:rPr>
            </w:pPr>
          </w:p>
        </w:tc>
      </w:tr>
      <w:tr w14:paraId="2F2BB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6" w:hRule="atLeast"/>
        </w:trPr>
        <w:tc>
          <w:tcPr>
            <w:tcW w:w="1031" w:type="dxa"/>
            <w:vAlign w:val="center"/>
          </w:tcPr>
          <w:p w14:paraId="5F34B248">
            <w:pPr>
              <w:widowControl/>
              <w:spacing w:line="360" w:lineRule="exact"/>
              <w:jc w:val="center"/>
              <w:rPr>
                <w:rFonts w:ascii="宋体" w:hAnsi="宋体"/>
                <w:szCs w:val="21"/>
              </w:rPr>
            </w:pPr>
            <w:r>
              <w:rPr>
                <w:rFonts w:hint="eastAsia" w:ascii="宋体" w:hAnsi="宋体"/>
                <w:szCs w:val="21"/>
              </w:rPr>
              <w:t>……</w:t>
            </w:r>
          </w:p>
        </w:tc>
        <w:tc>
          <w:tcPr>
            <w:tcW w:w="1701" w:type="dxa"/>
            <w:vAlign w:val="center"/>
          </w:tcPr>
          <w:p w14:paraId="1E384674">
            <w:pPr>
              <w:widowControl/>
              <w:spacing w:line="360" w:lineRule="exact"/>
              <w:jc w:val="center"/>
              <w:textAlignment w:val="center"/>
              <w:rPr>
                <w:rFonts w:ascii="宋体" w:hAnsi="宋体" w:cs="宋体"/>
                <w:szCs w:val="21"/>
              </w:rPr>
            </w:pPr>
          </w:p>
        </w:tc>
        <w:tc>
          <w:tcPr>
            <w:tcW w:w="992" w:type="dxa"/>
            <w:vAlign w:val="center"/>
          </w:tcPr>
          <w:p w14:paraId="17E66834">
            <w:pPr>
              <w:snapToGrid w:val="0"/>
              <w:spacing w:line="360" w:lineRule="exact"/>
              <w:rPr>
                <w:rFonts w:ascii="宋体" w:hAnsi="宋体"/>
                <w:szCs w:val="21"/>
              </w:rPr>
            </w:pPr>
          </w:p>
        </w:tc>
        <w:tc>
          <w:tcPr>
            <w:tcW w:w="1134" w:type="dxa"/>
            <w:vAlign w:val="center"/>
          </w:tcPr>
          <w:p w14:paraId="7588DB0E">
            <w:pPr>
              <w:snapToGrid w:val="0"/>
              <w:spacing w:line="360" w:lineRule="exact"/>
              <w:rPr>
                <w:rFonts w:ascii="宋体" w:hAnsi="宋体"/>
                <w:szCs w:val="21"/>
              </w:rPr>
            </w:pPr>
          </w:p>
        </w:tc>
        <w:tc>
          <w:tcPr>
            <w:tcW w:w="851" w:type="dxa"/>
            <w:vAlign w:val="center"/>
          </w:tcPr>
          <w:p w14:paraId="1343BA37">
            <w:pPr>
              <w:snapToGrid w:val="0"/>
              <w:spacing w:line="360" w:lineRule="exact"/>
              <w:rPr>
                <w:rFonts w:ascii="宋体" w:hAnsi="宋体"/>
                <w:szCs w:val="21"/>
              </w:rPr>
            </w:pPr>
          </w:p>
        </w:tc>
        <w:tc>
          <w:tcPr>
            <w:tcW w:w="708" w:type="dxa"/>
            <w:vAlign w:val="center"/>
          </w:tcPr>
          <w:p w14:paraId="519F3B35">
            <w:pPr>
              <w:spacing w:line="360" w:lineRule="exact"/>
              <w:jc w:val="center"/>
              <w:rPr>
                <w:rFonts w:ascii="宋体" w:hAnsi="宋体" w:cs="宋体"/>
                <w:szCs w:val="21"/>
              </w:rPr>
            </w:pPr>
          </w:p>
        </w:tc>
        <w:tc>
          <w:tcPr>
            <w:tcW w:w="709" w:type="dxa"/>
            <w:vAlign w:val="center"/>
          </w:tcPr>
          <w:p w14:paraId="33DB95C0">
            <w:pPr>
              <w:spacing w:line="360" w:lineRule="exact"/>
              <w:jc w:val="center"/>
              <w:rPr>
                <w:rFonts w:ascii="宋体" w:hAnsi="宋体" w:cs="宋体"/>
                <w:szCs w:val="21"/>
              </w:rPr>
            </w:pPr>
          </w:p>
        </w:tc>
        <w:tc>
          <w:tcPr>
            <w:tcW w:w="1016" w:type="dxa"/>
            <w:vAlign w:val="center"/>
          </w:tcPr>
          <w:p w14:paraId="5CB9B63E">
            <w:pPr>
              <w:snapToGrid w:val="0"/>
              <w:spacing w:line="360" w:lineRule="exact"/>
              <w:rPr>
                <w:rFonts w:ascii="宋体" w:hAnsi="宋体"/>
                <w:szCs w:val="21"/>
              </w:rPr>
            </w:pPr>
          </w:p>
        </w:tc>
        <w:tc>
          <w:tcPr>
            <w:tcW w:w="1564" w:type="dxa"/>
            <w:vAlign w:val="center"/>
          </w:tcPr>
          <w:p w14:paraId="1C4561FE">
            <w:pPr>
              <w:snapToGrid w:val="0"/>
              <w:spacing w:line="360" w:lineRule="exact"/>
              <w:rPr>
                <w:rFonts w:ascii="宋体" w:hAnsi="宋体"/>
                <w:szCs w:val="21"/>
              </w:rPr>
            </w:pPr>
          </w:p>
        </w:tc>
      </w:tr>
      <w:tr w14:paraId="1FCDF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9706" w:type="dxa"/>
            <w:gridSpan w:val="9"/>
            <w:vAlign w:val="center"/>
          </w:tcPr>
          <w:p w14:paraId="203DA60C">
            <w:pPr>
              <w:snapToGrid w:val="0"/>
              <w:spacing w:line="360" w:lineRule="exact"/>
              <w:rPr>
                <w:rFonts w:ascii="宋体" w:hAnsi="宋体"/>
                <w:szCs w:val="21"/>
              </w:rPr>
            </w:pPr>
            <w:r>
              <w:rPr>
                <w:rFonts w:hint="eastAsia" w:ascii="宋体" w:hAnsi="宋体"/>
                <w:szCs w:val="21"/>
              </w:rPr>
              <w:t xml:space="preserve">（合计金额）大写：                  </w:t>
            </w:r>
            <w:r>
              <w:rPr>
                <w:rFonts w:hint="eastAsia" w:ascii="宋体" w:hAnsi="宋体"/>
                <w:spacing w:val="20"/>
                <w:szCs w:val="21"/>
              </w:rPr>
              <w:t>人民币（¥               ）</w:t>
            </w:r>
          </w:p>
        </w:tc>
      </w:tr>
    </w:tbl>
    <w:p w14:paraId="46BAEE4A">
      <w:pPr>
        <w:snapToGrid w:val="0"/>
        <w:spacing w:line="340" w:lineRule="exact"/>
        <w:ind w:firstLine="315" w:firstLineChars="150"/>
        <w:rPr>
          <w:rFonts w:hint="eastAsia" w:hAnsi="宋体"/>
        </w:rPr>
      </w:pPr>
      <w:r>
        <w:rPr>
          <w:rFonts w:hint="eastAsia" w:ascii="宋体" w:hAnsi="宋体"/>
          <w:szCs w:val="21"/>
        </w:rPr>
        <w:t>2.</w:t>
      </w:r>
      <w:r>
        <w:rPr>
          <w:rFonts w:hint="eastAsia" w:hAnsi="宋体"/>
        </w:rPr>
        <w:t>合同合计金额包括：本次采购范围内货物货款、货物标准附件、备品备件、专用工具、包装、运输、装卸、保险、税金、货到就位以及安装、安装所需辅材、调试、培训、保修和和采购文件要求提供的所有伴随服务、工程等费用和税费。</w:t>
      </w:r>
    </w:p>
    <w:p w14:paraId="71EBF361">
      <w:pPr>
        <w:snapToGrid w:val="0"/>
        <w:spacing w:line="360" w:lineRule="exact"/>
        <w:ind w:firstLine="422" w:firstLineChars="200"/>
        <w:rPr>
          <w:rFonts w:ascii="宋体" w:hAnsi="宋体"/>
          <w:b/>
          <w:szCs w:val="21"/>
        </w:rPr>
      </w:pPr>
      <w:r>
        <w:rPr>
          <w:rFonts w:hint="eastAsia" w:ascii="宋体" w:hAnsi="宋体"/>
          <w:b/>
          <w:szCs w:val="21"/>
        </w:rPr>
        <w:t>3.合同履行</w:t>
      </w:r>
    </w:p>
    <w:p w14:paraId="3ED5DFF7">
      <w:pPr>
        <w:snapToGrid w:val="0"/>
        <w:spacing w:line="340" w:lineRule="exact"/>
        <w:ind w:firstLine="420" w:firstLineChars="200"/>
        <w:rPr>
          <w:rFonts w:ascii="宋体" w:hAnsi="宋体"/>
          <w:color w:val="auto"/>
          <w:szCs w:val="21"/>
        </w:rPr>
      </w:pPr>
      <w:r>
        <w:rPr>
          <w:rFonts w:ascii="宋体" w:hAnsi="宋体" w:cs="宋体"/>
          <w:szCs w:val="21"/>
        </w:rPr>
        <w:t>3.</w:t>
      </w:r>
      <w:r>
        <w:rPr>
          <w:rFonts w:hint="eastAsia" w:ascii="宋体" w:hAnsi="宋体" w:cs="宋体"/>
          <w:szCs w:val="21"/>
        </w:rPr>
        <w:t>1</w:t>
      </w:r>
      <w:r>
        <w:rPr>
          <w:rFonts w:hint="eastAsia" w:ascii="宋体" w:hAnsi="宋体" w:cs="宋体"/>
          <w:color w:val="auto"/>
          <w:szCs w:val="21"/>
        </w:rPr>
        <w:t>履约</w:t>
      </w:r>
      <w:r>
        <w:rPr>
          <w:rFonts w:hint="eastAsia" w:ascii="宋体" w:hAnsi="宋体"/>
          <w:color w:val="auto"/>
          <w:szCs w:val="21"/>
        </w:rPr>
        <w:t>时间及地点：</w:t>
      </w:r>
    </w:p>
    <w:p w14:paraId="5D118A0E">
      <w:pPr>
        <w:snapToGrid w:val="0"/>
        <w:spacing w:line="340" w:lineRule="exact"/>
        <w:ind w:left="420" w:leftChars="200"/>
        <w:rPr>
          <w:rFonts w:ascii="宋体" w:hAnsi="宋体"/>
          <w:szCs w:val="21"/>
        </w:rPr>
      </w:pPr>
      <w:r>
        <w:rPr>
          <w:rFonts w:hint="eastAsia" w:ascii="宋体" w:hAnsi="宋体"/>
          <w:color w:val="auto"/>
          <w:szCs w:val="21"/>
        </w:rPr>
        <w:t>履约时间</w:t>
      </w:r>
      <w:r>
        <w:rPr>
          <w:rFonts w:hint="eastAsia" w:ascii="宋体" w:hAnsi="宋体"/>
          <w:szCs w:val="21"/>
        </w:rPr>
        <w:t>：</w:t>
      </w:r>
      <w:r>
        <w:rPr>
          <w:rFonts w:hint="eastAsia" w:ascii="宋体" w:hAnsi="宋体"/>
          <w:szCs w:val="21"/>
          <w:u w:val="single"/>
        </w:rPr>
        <w:t xml:space="preserve">                         </w:t>
      </w:r>
      <w:r>
        <w:rPr>
          <w:rFonts w:hint="eastAsia" w:ascii="宋体" w:hAnsi="宋体"/>
          <w:szCs w:val="21"/>
        </w:rPr>
        <w:t>【按乙方响应文件中承诺的不超过采购文件要求的时间】；履约地点：</w:t>
      </w:r>
      <w:r>
        <w:rPr>
          <w:rFonts w:hint="eastAsia" w:ascii="宋体" w:hAnsi="宋体"/>
          <w:szCs w:val="21"/>
          <w:u w:val="single"/>
        </w:rPr>
        <w:t xml:space="preserve">                        </w:t>
      </w:r>
      <w:r>
        <w:rPr>
          <w:rFonts w:hint="eastAsia" w:ascii="宋体" w:hAnsi="宋体"/>
          <w:szCs w:val="21"/>
        </w:rPr>
        <w:t>。乙方需在规定的交付期限内将货物送达甲方指定的地点，同时通知甲方货物已送达。</w:t>
      </w:r>
    </w:p>
    <w:p w14:paraId="2FE99BC1">
      <w:pPr>
        <w:snapToGrid w:val="0"/>
        <w:spacing w:line="340" w:lineRule="exact"/>
        <w:ind w:firstLine="420" w:firstLineChars="200"/>
        <w:rPr>
          <w:rFonts w:ascii="宋体" w:hAnsi="宋体"/>
          <w:szCs w:val="21"/>
        </w:rPr>
      </w:pPr>
      <w:r>
        <w:rPr>
          <w:rFonts w:ascii="宋体" w:hAnsi="宋体" w:cs="宋体"/>
          <w:szCs w:val="21"/>
        </w:rPr>
        <w:t>3.2</w:t>
      </w:r>
      <w:r>
        <w:rPr>
          <w:rFonts w:hint="eastAsia" w:ascii="宋体" w:hAnsi="宋体"/>
          <w:szCs w:val="21"/>
        </w:rPr>
        <w:t>乙方提供不符合采购文件规定或响应文件承诺或本合同规定的货物，甲方有权拒绝接受。</w:t>
      </w:r>
    </w:p>
    <w:p w14:paraId="20D74042">
      <w:pPr>
        <w:snapToGrid w:val="0"/>
        <w:spacing w:line="340" w:lineRule="exact"/>
        <w:ind w:firstLine="420" w:firstLineChars="200"/>
        <w:rPr>
          <w:rFonts w:ascii="宋体" w:hAnsi="宋体"/>
          <w:szCs w:val="21"/>
        </w:rPr>
      </w:pPr>
      <w:r>
        <w:rPr>
          <w:rFonts w:ascii="宋体" w:hAnsi="宋体" w:cs="宋体"/>
          <w:szCs w:val="21"/>
        </w:rPr>
        <w:t>3.3</w:t>
      </w:r>
      <w:r>
        <w:rPr>
          <w:rFonts w:hint="eastAsia" w:ascii="宋体" w:hAnsi="宋体"/>
          <w:szCs w:val="21"/>
        </w:rPr>
        <w:t>乙方应将所提供货物的装箱清单、用户手册、原厂保修卡、随机资料、工具和备品、备件等交付给甲方，货物属于进口产品的，供货时应同时附上中文使用说明书，如有缺失应在合理的规定时间内补齐，否则视为逾期交货。</w:t>
      </w:r>
    </w:p>
    <w:p w14:paraId="29F92AF3">
      <w:pPr>
        <w:snapToGrid w:val="0"/>
        <w:spacing w:line="340" w:lineRule="exact"/>
        <w:ind w:firstLine="420" w:firstLineChars="200"/>
        <w:rPr>
          <w:rFonts w:ascii="宋体" w:hAnsi="宋体"/>
          <w:szCs w:val="21"/>
        </w:rPr>
      </w:pPr>
      <w:r>
        <w:rPr>
          <w:rFonts w:ascii="宋体" w:hAnsi="宋体" w:cs="宋体"/>
          <w:szCs w:val="21"/>
        </w:rPr>
        <w:t>3.4</w:t>
      </w:r>
      <w:r>
        <w:rPr>
          <w:rFonts w:hint="eastAsia" w:ascii="宋体" w:hAnsi="宋体"/>
          <w:szCs w:val="21"/>
        </w:rPr>
        <w:t>乙方交货前应对产品作出全面检查和对验收文件进行整理，并列出清单，作为甲方收货验收和使用的技术条件依据，检验的结果应随货物交甲方。</w:t>
      </w:r>
    </w:p>
    <w:p w14:paraId="3A2CAF72">
      <w:pPr>
        <w:adjustRightInd w:val="0"/>
        <w:snapToGrid w:val="0"/>
        <w:spacing w:line="400" w:lineRule="exact"/>
        <w:ind w:firstLine="420" w:firstLineChars="200"/>
        <w:rPr>
          <w:rFonts w:ascii="宋体" w:hAnsi="宋体" w:cs="宋体"/>
          <w:szCs w:val="21"/>
        </w:rPr>
      </w:pPr>
      <w:r>
        <w:rPr>
          <w:rFonts w:ascii="宋体" w:hAnsi="宋体" w:cs="宋体"/>
          <w:szCs w:val="21"/>
        </w:rPr>
        <w:t>3.</w:t>
      </w:r>
      <w:r>
        <w:rPr>
          <w:rFonts w:ascii="宋体" w:hAnsi="宋体" w:cs="宋体"/>
          <w:bCs/>
          <w:szCs w:val="21"/>
        </w:rPr>
        <w:t>5</w:t>
      </w:r>
      <w:r>
        <w:rPr>
          <w:rFonts w:hint="eastAsia" w:ascii="宋体" w:hAnsi="宋体" w:cs="宋体"/>
          <w:bCs/>
          <w:szCs w:val="21"/>
        </w:rPr>
        <w:t>履约担保：</w:t>
      </w:r>
      <w:r>
        <w:rPr>
          <w:rFonts w:hint="eastAsia" w:ascii="宋体" w:hAnsi="宋体" w:cs="宋体"/>
        </w:rPr>
        <w:t>是否收取履约保证金：</w:t>
      </w:r>
      <w:r>
        <w:rPr>
          <w:rFonts w:ascii="宋体" w:hAnsi="宋体" w:cs="宋体"/>
          <w:szCs w:val="21"/>
        </w:rPr>
        <w:sym w:font="Wingdings" w:char="00A8"/>
      </w:r>
      <w:r>
        <w:rPr>
          <w:rFonts w:hint="eastAsia" w:ascii="宋体" w:hAnsi="宋体" w:cs="宋体"/>
          <w:szCs w:val="21"/>
        </w:rPr>
        <w:t xml:space="preserve">是  </w:t>
      </w:r>
      <w:r>
        <w:rPr>
          <w:rFonts w:ascii="宋体" w:hAnsi="宋体" w:cs="宋体"/>
          <w:szCs w:val="21"/>
        </w:rPr>
        <w:sym w:font="Wingdings" w:char="00A8"/>
      </w:r>
      <w:r>
        <w:rPr>
          <w:rFonts w:hint="eastAsia" w:ascii="宋体" w:hAnsi="宋体" w:cs="宋体"/>
          <w:szCs w:val="21"/>
        </w:rPr>
        <w:t>否</w:t>
      </w:r>
    </w:p>
    <w:p w14:paraId="32996C0C">
      <w:pPr>
        <w:pStyle w:val="17"/>
        <w:ind w:firstLine="420"/>
        <w:rPr>
          <w:rFonts w:ascii="宋体" w:hAnsi="宋体" w:eastAsia="宋体" w:cs="宋体"/>
          <w:sz w:val="21"/>
        </w:rPr>
      </w:pPr>
      <w:r>
        <w:rPr>
          <w:rFonts w:hint="eastAsia" w:ascii="宋体" w:hAnsi="宋体" w:eastAsia="宋体" w:cs="宋体"/>
          <w:sz w:val="21"/>
        </w:rPr>
        <w:t xml:space="preserve"> （</w:t>
      </w:r>
      <w:r>
        <w:rPr>
          <w:rFonts w:ascii="宋体" w:hAnsi="宋体" w:eastAsia="宋体" w:cs="宋体"/>
          <w:sz w:val="21"/>
        </w:rPr>
        <w:t>1</w:t>
      </w:r>
      <w:r>
        <w:rPr>
          <w:rFonts w:hint="eastAsia" w:ascii="宋体" w:hAnsi="宋体" w:eastAsia="宋体" w:cs="宋体"/>
          <w:sz w:val="21"/>
        </w:rPr>
        <w:t>）收取履约保证金金额：</w:t>
      </w:r>
      <w:r>
        <w:rPr>
          <w:rFonts w:hint="eastAsia" w:ascii="宋体" w:hAnsi="宋体" w:eastAsia="宋体" w:cs="宋体"/>
          <w:kern w:val="2"/>
          <w:sz w:val="21"/>
          <w:szCs w:val="24"/>
        </w:rPr>
        <w:t>按成交金额的5%收取。</w:t>
      </w:r>
      <w:r>
        <w:rPr>
          <w:rFonts w:hint="eastAsia" w:ascii="宋体" w:hAnsi="宋体" w:eastAsia="宋体" w:cs="宋体"/>
          <w:sz w:val="21"/>
          <w:highlight w:val="none"/>
        </w:rPr>
        <w:t>收取履约保证金形式：</w:t>
      </w:r>
      <w:r>
        <w:rPr>
          <w:rFonts w:hint="eastAsia" w:ascii="宋体" w:hAnsi="宋体" w:eastAsia="宋体" w:cs="宋体"/>
          <w:kern w:val="2"/>
          <w:sz w:val="21"/>
          <w:szCs w:val="24"/>
          <w:highlight w:val="none"/>
        </w:rPr>
        <w:t>银行转账、支票、汇票、本票或者金融机构、担保机构出具的保函（含电子保函）等非现金方式。</w:t>
      </w:r>
    </w:p>
    <w:p w14:paraId="1C36CD37">
      <w:pPr>
        <w:snapToGrid w:val="0"/>
        <w:spacing w:line="340" w:lineRule="exact"/>
        <w:ind w:firstLine="420" w:firstLineChars="200"/>
        <w:rPr>
          <w:rFonts w:ascii="宋体" w:hAnsi="宋体" w:cs="宋体"/>
          <w:kern w:val="0"/>
          <w:szCs w:val="21"/>
        </w:rPr>
      </w:pPr>
      <w:r>
        <w:rPr>
          <w:rFonts w:hint="eastAsia" w:ascii="宋体" w:hAnsi="宋体" w:cs="宋体"/>
        </w:rPr>
        <w:t xml:space="preserve"> </w:t>
      </w:r>
      <w:r>
        <w:rPr>
          <w:rFonts w:hint="eastAsia" w:ascii="宋体" w:hAnsi="宋体" w:cs="宋体"/>
          <w:szCs w:val="21"/>
        </w:rPr>
        <w:t>（</w:t>
      </w:r>
      <w:r>
        <w:rPr>
          <w:rFonts w:ascii="宋体" w:hAnsi="宋体" w:cs="宋体"/>
        </w:rPr>
        <w:t>2</w:t>
      </w:r>
      <w:r>
        <w:rPr>
          <w:rFonts w:hint="eastAsia" w:ascii="宋体" w:hAnsi="宋体" w:cs="宋体"/>
          <w:szCs w:val="21"/>
        </w:rPr>
        <w:t>）</w:t>
      </w:r>
      <w:r>
        <w:rPr>
          <w:rFonts w:hint="eastAsia" w:ascii="宋体" w:hAnsi="宋体" w:cs="Courier New"/>
          <w:szCs w:val="21"/>
        </w:rPr>
        <w:t>履约保证金递交方式及相关要求</w:t>
      </w:r>
    </w:p>
    <w:p w14:paraId="48169DAE">
      <w:pPr>
        <w:snapToGrid w:val="0"/>
        <w:spacing w:line="340" w:lineRule="exact"/>
        <w:ind w:firstLine="420" w:firstLineChars="200"/>
        <w:rPr>
          <w:rFonts w:ascii="宋体" w:hAnsi="宋体"/>
          <w:szCs w:val="21"/>
        </w:rPr>
      </w:pPr>
      <w:r>
        <w:rPr>
          <w:rFonts w:ascii="宋体" w:hAnsi="宋体" w:cs="Courier New"/>
          <w:szCs w:val="21"/>
        </w:rPr>
        <w:t xml:space="preserve"> </w:t>
      </w:r>
      <w:r>
        <w:rPr>
          <w:rFonts w:hint="eastAsia" w:ascii="宋体" w:hAnsi="宋体" w:cs="Courier New"/>
          <w:szCs w:val="21"/>
        </w:rPr>
        <w:t>①履约保证金采用银行转账交纳方式的</w:t>
      </w:r>
      <w:r>
        <w:rPr>
          <w:rFonts w:hint="eastAsia" w:ascii="宋体" w:hAnsi="宋体"/>
          <w:szCs w:val="21"/>
        </w:rPr>
        <w:t>，乙方在签订合同前交至甲方指定账户并且到账。</w:t>
      </w:r>
    </w:p>
    <w:p w14:paraId="51725010">
      <w:pPr>
        <w:snapToGrid w:val="0"/>
        <w:spacing w:line="340" w:lineRule="exact"/>
        <w:ind w:firstLine="420" w:firstLineChars="200"/>
        <w:rPr>
          <w:rFonts w:ascii="宋体" w:hAnsi="宋体"/>
          <w:szCs w:val="21"/>
        </w:rPr>
      </w:pPr>
      <w:r>
        <w:rPr>
          <w:rFonts w:ascii="宋体" w:hAnsi="宋体" w:cs="Courier New"/>
          <w:szCs w:val="21"/>
        </w:rPr>
        <w:t xml:space="preserve"> </w:t>
      </w:r>
      <w:r>
        <w:rPr>
          <w:rFonts w:hint="eastAsia" w:ascii="宋体" w:hAnsi="宋体" w:cs="Courier New"/>
          <w:szCs w:val="21"/>
        </w:rPr>
        <w:t>②履约保证金采用支票</w:t>
      </w:r>
      <w:r>
        <w:rPr>
          <w:rFonts w:hint="eastAsia" w:ascii="宋体" w:hAnsi="宋体"/>
          <w:szCs w:val="21"/>
        </w:rPr>
        <w:t>、汇票或本票交纳方式的，乙方在签订合同前，向甲方提交支票、汇票或本票原件。</w:t>
      </w:r>
    </w:p>
    <w:p w14:paraId="0075475E">
      <w:pPr>
        <w:snapToGrid w:val="0"/>
        <w:spacing w:line="340" w:lineRule="exact"/>
        <w:ind w:firstLine="420" w:firstLineChars="200"/>
        <w:rPr>
          <w:rFonts w:ascii="宋体" w:hAnsi="宋体"/>
          <w:szCs w:val="21"/>
        </w:rPr>
      </w:pPr>
      <w:r>
        <w:rPr>
          <w:rFonts w:ascii="宋体" w:hAnsi="宋体" w:cs="Courier New"/>
          <w:szCs w:val="21"/>
        </w:rPr>
        <w:t xml:space="preserve"> </w:t>
      </w:r>
      <w:r>
        <w:rPr>
          <w:rFonts w:hint="eastAsia" w:ascii="宋体" w:hAnsi="宋体" w:cs="Courier New"/>
          <w:szCs w:val="21"/>
        </w:rPr>
        <w:t>③履约保证金采用银行</w:t>
      </w:r>
      <w:r>
        <w:rPr>
          <w:rFonts w:hint="eastAsia" w:ascii="宋体" w:hAnsi="宋体"/>
          <w:szCs w:val="21"/>
        </w:rPr>
        <w:t>、保险机构出具的保函（含电子保函）交纳方式的，乙方在签订合同前，向甲方提交保函原件。</w:t>
      </w:r>
    </w:p>
    <w:p w14:paraId="55FEDEFB">
      <w:pPr>
        <w:snapToGrid w:val="0"/>
        <w:spacing w:line="340" w:lineRule="exact"/>
        <w:ind w:firstLine="420" w:firstLineChars="200"/>
        <w:rPr>
          <w:rFonts w:ascii="宋体" w:hAnsi="宋体"/>
          <w:szCs w:val="21"/>
        </w:rPr>
      </w:pPr>
      <w:r>
        <w:rPr>
          <w:rFonts w:ascii="宋体" w:hAnsi="宋体" w:cs="Courier New"/>
          <w:szCs w:val="21"/>
        </w:rPr>
        <w:t xml:space="preserve"> </w:t>
      </w:r>
      <w:r>
        <w:rPr>
          <w:rFonts w:hint="eastAsia" w:ascii="宋体" w:hAnsi="宋体" w:cs="Courier New"/>
          <w:szCs w:val="21"/>
        </w:rPr>
        <w:t>④履约保证金指定账户</w:t>
      </w:r>
    </w:p>
    <w:p w14:paraId="111ACC73">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开户名称</w:t>
      </w:r>
      <w:r>
        <w:rPr>
          <w:rFonts w:hint="eastAsia" w:ascii="宋体" w:hAnsi="宋体"/>
          <w:color w:val="auto"/>
          <w:szCs w:val="21"/>
        </w:rPr>
        <w:t>：</w:t>
      </w:r>
      <w:r>
        <w:rPr>
          <w:rFonts w:hint="eastAsia" w:ascii="宋体" w:hAnsi="宋体"/>
          <w:color w:val="auto"/>
          <w:kern w:val="0"/>
          <w:szCs w:val="21"/>
          <w:u w:val="single"/>
        </w:rPr>
        <w:t xml:space="preserve"> 桂林电子科技大学            </w:t>
      </w:r>
      <w:r>
        <w:rPr>
          <w:rFonts w:hint="eastAsia" w:ascii="宋体" w:hAnsi="宋体" w:cs="Arial"/>
          <w:color w:val="auto"/>
          <w:szCs w:val="21"/>
        </w:rPr>
        <w:t>；</w:t>
      </w:r>
    </w:p>
    <w:p w14:paraId="49F043BC">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开户银行</w:t>
      </w:r>
      <w:r>
        <w:rPr>
          <w:rFonts w:hint="eastAsia" w:ascii="宋体" w:hAnsi="宋体"/>
          <w:color w:val="auto"/>
          <w:szCs w:val="21"/>
        </w:rPr>
        <w:t>：</w:t>
      </w:r>
      <w:r>
        <w:rPr>
          <w:rFonts w:hint="eastAsia" w:ascii="宋体" w:hAnsi="宋体"/>
          <w:color w:val="auto"/>
          <w:kern w:val="0"/>
          <w:szCs w:val="21"/>
          <w:u w:val="single"/>
        </w:rPr>
        <w:t xml:space="preserve"> </w:t>
      </w:r>
      <w:r>
        <w:rPr>
          <w:rFonts w:hint="eastAsia" w:ascii="宋体" w:hAnsi="宋体"/>
          <w:color w:val="auto"/>
          <w:kern w:val="0"/>
          <w:szCs w:val="21"/>
          <w:u w:val="single"/>
          <w:lang w:eastAsia="zh-CN"/>
        </w:rPr>
        <w:t>工商银行桂林市屏风支行</w:t>
      </w:r>
      <w:r>
        <w:rPr>
          <w:rFonts w:hint="eastAsia" w:ascii="宋体" w:hAnsi="宋体"/>
          <w:color w:val="auto"/>
          <w:kern w:val="0"/>
          <w:szCs w:val="21"/>
          <w:u w:val="single"/>
        </w:rPr>
        <w:t xml:space="preserve">      </w:t>
      </w:r>
      <w:r>
        <w:rPr>
          <w:rFonts w:hint="eastAsia" w:ascii="宋体" w:hAnsi="宋体" w:cs="Arial"/>
          <w:color w:val="auto"/>
          <w:szCs w:val="21"/>
        </w:rPr>
        <w:t>；</w:t>
      </w:r>
    </w:p>
    <w:p w14:paraId="55B2A74E">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银行账号</w:t>
      </w:r>
      <w:r>
        <w:rPr>
          <w:rFonts w:hint="eastAsia" w:ascii="宋体" w:hAnsi="宋体"/>
          <w:color w:val="auto"/>
          <w:szCs w:val="21"/>
        </w:rPr>
        <w:t>：</w:t>
      </w:r>
      <w:r>
        <w:rPr>
          <w:rFonts w:hint="eastAsia" w:ascii="宋体" w:hAnsi="宋体"/>
          <w:color w:val="auto"/>
          <w:kern w:val="0"/>
          <w:szCs w:val="21"/>
          <w:u w:val="single"/>
        </w:rPr>
        <w:t xml:space="preserve"> 2103 2152 0924 9017 694     </w:t>
      </w:r>
      <w:r>
        <w:rPr>
          <w:rFonts w:hint="eastAsia" w:ascii="宋体" w:hAnsi="宋体" w:cs="Arial"/>
          <w:color w:val="auto"/>
          <w:szCs w:val="21"/>
        </w:rPr>
        <w:t>。</w:t>
      </w:r>
    </w:p>
    <w:p w14:paraId="2DA4BDD0">
      <w:pPr>
        <w:snapToGrid w:val="0"/>
        <w:spacing w:line="340" w:lineRule="exact"/>
        <w:ind w:firstLine="420" w:firstLineChars="200"/>
        <w:rPr>
          <w:rFonts w:ascii="宋体" w:hAnsi="宋体" w:cs="宋体"/>
          <w:kern w:val="0"/>
          <w:szCs w:val="21"/>
        </w:rPr>
      </w:pPr>
      <w:r>
        <w:rPr>
          <w:rFonts w:hint="eastAsia" w:ascii="宋体" w:hAnsi="宋体" w:cs="宋体"/>
          <w:szCs w:val="21"/>
        </w:rPr>
        <w:t>（</w:t>
      </w:r>
      <w:r>
        <w:rPr>
          <w:rFonts w:ascii="宋体" w:hAnsi="宋体" w:cs="宋体"/>
        </w:rPr>
        <w:t>3</w:t>
      </w:r>
      <w:r>
        <w:rPr>
          <w:rFonts w:hint="eastAsia" w:ascii="宋体" w:hAnsi="宋体" w:cs="宋体"/>
          <w:szCs w:val="21"/>
        </w:rPr>
        <w:t>）</w:t>
      </w:r>
      <w:r>
        <w:rPr>
          <w:rFonts w:hint="eastAsia" w:ascii="宋体" w:hAnsi="宋体"/>
          <w:szCs w:val="21"/>
        </w:rPr>
        <w:t>履约保证金退付方式、时间及条件</w:t>
      </w:r>
      <w:r>
        <w:rPr>
          <w:rFonts w:hint="eastAsia" w:ascii="宋体" w:hAnsi="宋体" w:cs="宋体"/>
          <w:kern w:val="0"/>
          <w:szCs w:val="21"/>
        </w:rPr>
        <w:t>：</w:t>
      </w:r>
    </w:p>
    <w:p w14:paraId="01611307">
      <w:pPr>
        <w:snapToGrid w:val="0"/>
        <w:spacing w:line="340" w:lineRule="exact"/>
        <w:ind w:firstLine="420" w:firstLineChars="200"/>
        <w:rPr>
          <w:rFonts w:ascii="宋体" w:hAnsi="宋体"/>
          <w:szCs w:val="21"/>
          <w:u w:val="single"/>
        </w:rPr>
      </w:pPr>
      <w:r>
        <w:rPr>
          <w:rFonts w:hint="eastAsia" w:ascii="宋体" w:hAnsi="宋体" w:cs="Courier New"/>
          <w:szCs w:val="21"/>
        </w:rPr>
        <w:t>①</w:t>
      </w:r>
      <w:r>
        <w:rPr>
          <w:rFonts w:hint="eastAsia" w:ascii="宋体" w:hAnsi="宋体"/>
          <w:szCs w:val="21"/>
        </w:rPr>
        <w:t>乙方</w:t>
      </w:r>
      <w:r>
        <w:rPr>
          <w:rFonts w:hint="eastAsia" w:ascii="宋体" w:hAnsi="宋体" w:cs="宋体"/>
          <w:kern w:val="0"/>
          <w:szCs w:val="21"/>
        </w:rPr>
        <w:t>履行完合同约定的权利义务（包括免费保修服务等）事项后7个工作日内，</w:t>
      </w:r>
      <w:r>
        <w:rPr>
          <w:rFonts w:hint="eastAsia" w:ascii="宋体" w:hAnsi="宋体"/>
          <w:szCs w:val="21"/>
        </w:rPr>
        <w:t>由乙方向履约保证金收取单位办理退还手续（不计利息）。</w:t>
      </w:r>
    </w:p>
    <w:p w14:paraId="768A1951">
      <w:pPr>
        <w:snapToGrid w:val="0"/>
        <w:spacing w:line="340" w:lineRule="exact"/>
        <w:ind w:firstLine="420" w:firstLineChars="200"/>
        <w:rPr>
          <w:rFonts w:ascii="宋体" w:hAnsi="宋体" w:cs="宋体"/>
          <w:kern w:val="0"/>
          <w:szCs w:val="21"/>
        </w:rPr>
      </w:pPr>
      <w:r>
        <w:rPr>
          <w:rFonts w:hint="eastAsia" w:ascii="宋体" w:hAnsi="宋体" w:cs="Courier New"/>
          <w:szCs w:val="21"/>
        </w:rPr>
        <w:t>②</w:t>
      </w:r>
      <w:r>
        <w:rPr>
          <w:rFonts w:hint="eastAsia" w:ascii="宋体" w:hAnsi="宋体"/>
          <w:szCs w:val="21"/>
        </w:rPr>
        <w:t>乙方</w:t>
      </w:r>
      <w:r>
        <w:rPr>
          <w:rFonts w:hint="eastAsia" w:ascii="宋体" w:hAnsi="宋体" w:cs="Courier New"/>
          <w:szCs w:val="21"/>
        </w:rPr>
        <w:t>在签订合同后存在违约情形的</w:t>
      </w:r>
      <w:r>
        <w:rPr>
          <w:rFonts w:hint="eastAsia" w:ascii="宋体" w:hAnsi="宋体" w:cs="宋体"/>
          <w:kern w:val="0"/>
          <w:szCs w:val="21"/>
        </w:rPr>
        <w:t>，履约保证金或保函原件不予退还。</w:t>
      </w:r>
      <w:r>
        <w:rPr>
          <w:rFonts w:hint="eastAsia" w:ascii="宋体" w:hAnsi="宋体"/>
          <w:szCs w:val="21"/>
        </w:rPr>
        <w:t>保函形式的甲方按相关规定由出具保函的银行</w:t>
      </w:r>
      <w:r>
        <w:rPr>
          <w:rFonts w:hint="eastAsia" w:ascii="宋体" w:hAnsi="宋体" w:cs="宋体"/>
          <w:kern w:val="0"/>
          <w:szCs w:val="21"/>
        </w:rPr>
        <w:t>、保险机构承担供应商违约赔付责任，履约保证金不足以赔偿损失的，按实际损失赔偿。</w:t>
      </w:r>
    </w:p>
    <w:p w14:paraId="674C4705">
      <w:pPr>
        <w:snapToGrid w:val="0"/>
        <w:spacing w:line="340" w:lineRule="exact"/>
        <w:ind w:firstLine="420" w:firstLineChars="200"/>
        <w:rPr>
          <w:rFonts w:ascii="宋体" w:hAnsi="宋体"/>
          <w:szCs w:val="21"/>
          <w:u w:val="single"/>
        </w:rPr>
      </w:pPr>
      <w:r>
        <w:rPr>
          <w:rFonts w:hint="eastAsia" w:ascii="宋体" w:hAnsi="宋体" w:cs="Courier New"/>
          <w:szCs w:val="21"/>
        </w:rPr>
        <w:t>③</w:t>
      </w:r>
      <w:r>
        <w:rPr>
          <w:rFonts w:hint="eastAsia" w:ascii="宋体" w:hAnsi="宋体"/>
          <w:szCs w:val="21"/>
        </w:rPr>
        <w:t>在履约保证金退还日期前，若乙方的开户名称、开户银行、账号有变动的，请以书面形式通知履约保证金收取单位，否则由此产生的后果由乙方自负。</w:t>
      </w:r>
    </w:p>
    <w:p w14:paraId="3C26C9A7">
      <w:pPr>
        <w:snapToGrid w:val="0"/>
        <w:spacing w:line="340" w:lineRule="exact"/>
        <w:ind w:firstLine="420" w:firstLineChars="200"/>
        <w:rPr>
          <w:rFonts w:ascii="宋体" w:hAnsi="宋体"/>
          <w:szCs w:val="21"/>
        </w:rPr>
      </w:pPr>
      <w:r>
        <w:rPr>
          <w:rFonts w:hint="eastAsia" w:ascii="宋体" w:hAnsi="宋体" w:cs="Courier New"/>
          <w:szCs w:val="21"/>
        </w:rPr>
        <w:t>④</w:t>
      </w:r>
      <w:r>
        <w:rPr>
          <w:rFonts w:hint="eastAsia" w:ascii="宋体" w:hAnsi="宋体"/>
          <w:szCs w:val="21"/>
        </w:rPr>
        <w:t>履约保证金不足额缴纳的，或银行、保险机构出具的保函额度不足的或者保函有效期低于合同履行期限（即签订采购合同之日起至履行完合同约定的权利及义务之日止）的，不予签订合同。采用银行、保险机构出具的保函的，必须为无条件保函，否则不予签订合同。</w:t>
      </w:r>
    </w:p>
    <w:p w14:paraId="1FBE9375">
      <w:pPr>
        <w:tabs>
          <w:tab w:val="left" w:pos="900"/>
        </w:tabs>
        <w:snapToGrid w:val="0"/>
        <w:spacing w:line="340" w:lineRule="exact"/>
        <w:ind w:firstLine="422" w:firstLineChars="200"/>
        <w:rPr>
          <w:rFonts w:ascii="宋体" w:hAnsi="宋体"/>
          <w:b/>
          <w:szCs w:val="21"/>
        </w:rPr>
      </w:pPr>
      <w:r>
        <w:rPr>
          <w:rFonts w:hint="eastAsia" w:ascii="宋体" w:hAnsi="宋体"/>
          <w:b/>
          <w:szCs w:val="21"/>
        </w:rPr>
        <w:t>4</w:t>
      </w:r>
      <w:r>
        <w:rPr>
          <w:rFonts w:ascii="宋体" w:hAnsi="宋体"/>
          <w:b/>
          <w:szCs w:val="21"/>
        </w:rPr>
        <w:t>.</w:t>
      </w:r>
      <w:r>
        <w:rPr>
          <w:rFonts w:hint="eastAsia" w:ascii="宋体" w:hAnsi="宋体"/>
          <w:b/>
          <w:szCs w:val="21"/>
        </w:rPr>
        <w:t>权利保证</w:t>
      </w:r>
    </w:p>
    <w:p w14:paraId="50BAA782">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1甲方在履行合同过程中提供给乙方的全部图纸、文件和其他含有数据和信息的资料，其知识产权属于甲方。</w:t>
      </w:r>
    </w:p>
    <w:p w14:paraId="7706B420">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2乙方应保证所提供货物在使用时不会侵犯任何第三方的知识产权或者其他权利。如合同货物涉及知识产权，则乙方保证甲方在使用合同货物过程中免于受到第三方提出的有关知识产权侵权的主张、索赔或诉讼的伤害。</w:t>
      </w:r>
    </w:p>
    <w:p w14:paraId="01B1E03B">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3如果甲方收到任何第三方有关知识产权的主张、索赔或诉讼，乙方在收到甲方通知后，应以甲方名义并在甲方的协助下，自负费用处理与第三方的索赔或诉讼，并赔偿甲方因此发生的费用和遭受的损失。如果乙方拒绝处理前述索赔或诉讼或在收到甲方通知后28日内未作表示，甲方可以自己的名义进行这些索赔或诉讼，因此发生的费用和遭受的损失均应由乙方承担。</w:t>
      </w:r>
    </w:p>
    <w:p w14:paraId="14A5F434">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4乙方应按采购文件规定或投标(响应)文件承诺的时间向甲方提供使用货物的有关技术资料。</w:t>
      </w:r>
    </w:p>
    <w:p w14:paraId="5136F093">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5未经甲方书面同意，乙方不得将由甲方提供的有关合同或任何合同条款、规格、计划、图纸、样品或资料提供给与履行本合同无关的任何其他人。即使向履行本合同有关的人员提供，也应注意保密并限于履行合同的必需范围。</w:t>
      </w:r>
    </w:p>
    <w:p w14:paraId="572BBCCC">
      <w:pPr>
        <w:snapToGrid w:val="0"/>
        <w:spacing w:line="340" w:lineRule="exact"/>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6乙方保证将要交付的货物的所有权完全属于乙方且无任何抵押、质押、查封等产权瑕疵。</w:t>
      </w:r>
    </w:p>
    <w:p w14:paraId="30160BD7">
      <w:pPr>
        <w:snapToGrid w:val="0"/>
        <w:spacing w:line="340" w:lineRule="exact"/>
        <w:ind w:firstLine="422" w:firstLineChars="200"/>
        <w:rPr>
          <w:rFonts w:ascii="宋体" w:hAnsi="宋体"/>
          <w:b/>
          <w:szCs w:val="21"/>
        </w:rPr>
      </w:pPr>
      <w:r>
        <w:rPr>
          <w:rFonts w:hint="eastAsia" w:ascii="宋体" w:hAnsi="宋体"/>
          <w:b/>
          <w:szCs w:val="21"/>
        </w:rPr>
        <w:t>5</w:t>
      </w:r>
      <w:r>
        <w:rPr>
          <w:rFonts w:ascii="宋体" w:hAnsi="宋体"/>
          <w:b/>
          <w:szCs w:val="21"/>
        </w:rPr>
        <w:t>.</w:t>
      </w:r>
      <w:r>
        <w:rPr>
          <w:rFonts w:hint="eastAsia" w:ascii="宋体" w:hAnsi="宋体"/>
          <w:b/>
          <w:szCs w:val="21"/>
        </w:rPr>
        <w:t>货物包装、发运及运输</w:t>
      </w:r>
    </w:p>
    <w:p w14:paraId="0689275E">
      <w:pPr>
        <w:snapToGrid w:val="0"/>
        <w:spacing w:line="340" w:lineRule="exact"/>
        <w:ind w:firstLine="420" w:firstLineChars="200"/>
        <w:rPr>
          <w:rFonts w:ascii="宋体" w:hAnsi="宋体"/>
          <w:szCs w:val="21"/>
        </w:rPr>
      </w:pPr>
      <w:r>
        <w:rPr>
          <w:rFonts w:hint="eastAsia" w:ascii="宋体" w:hAnsi="宋体"/>
          <w:szCs w:val="21"/>
        </w:rPr>
        <w:t>5.1乙方提供的货物均应按采购文件规定或响应文件承诺的要求的包装材料、包装标准、包装方式进行包装，每一包装单元内应附详细的装箱单和质量合格证。</w:t>
      </w:r>
    </w:p>
    <w:p w14:paraId="644EA168">
      <w:pPr>
        <w:snapToGrid w:val="0"/>
        <w:spacing w:line="340" w:lineRule="exact"/>
        <w:ind w:firstLine="420" w:firstLineChars="200"/>
        <w:rPr>
          <w:rFonts w:ascii="宋体" w:hAnsi="宋体"/>
          <w:szCs w:val="21"/>
        </w:rPr>
      </w:pPr>
      <w:r>
        <w:rPr>
          <w:rFonts w:hint="eastAsia" w:ascii="宋体" w:hAnsi="宋体"/>
          <w:color w:val="000000" w:themeColor="text1"/>
          <w:szCs w:val="21"/>
        </w:rPr>
        <w:t>5.2货物保险要求：</w:t>
      </w:r>
      <w:r>
        <w:rPr>
          <w:rFonts w:hint="eastAsia" w:ascii="宋体" w:hAnsi="宋体"/>
          <w:color w:val="000000" w:themeColor="text1"/>
          <w:szCs w:val="21"/>
          <w:u w:val="single"/>
        </w:rPr>
        <w:t xml:space="preserve">                      </w:t>
      </w:r>
      <w:r>
        <w:rPr>
          <w:rFonts w:hint="eastAsia" w:ascii="宋体" w:hAnsi="宋体"/>
          <w:color w:val="000000" w:themeColor="text1"/>
          <w:szCs w:val="21"/>
        </w:rPr>
        <w:t>。</w:t>
      </w:r>
    </w:p>
    <w:p w14:paraId="2802F46E">
      <w:pPr>
        <w:snapToGrid w:val="0"/>
        <w:spacing w:line="340" w:lineRule="exact"/>
        <w:ind w:firstLine="420" w:firstLineChars="200"/>
        <w:rPr>
          <w:rFonts w:ascii="宋体" w:hAnsi="宋体"/>
          <w:szCs w:val="21"/>
        </w:rPr>
      </w:pPr>
      <w:r>
        <w:rPr>
          <w:rFonts w:hint="eastAsia" w:ascii="宋体" w:hAnsi="宋体"/>
          <w:szCs w:val="21"/>
        </w:rPr>
        <w:t>5</w:t>
      </w:r>
      <w:r>
        <w:rPr>
          <w:rFonts w:ascii="宋体" w:hAnsi="宋体"/>
          <w:szCs w:val="21"/>
        </w:rPr>
        <w:t>.</w:t>
      </w:r>
      <w:r>
        <w:rPr>
          <w:rFonts w:hint="eastAsia" w:ascii="宋体" w:hAnsi="宋体"/>
          <w:szCs w:val="21"/>
        </w:rPr>
        <w:t>3货物在交付甲方前发生的风险均由乙方负责。</w:t>
      </w:r>
    </w:p>
    <w:p w14:paraId="7C7F93BF">
      <w:pPr>
        <w:snapToGrid w:val="0"/>
        <w:spacing w:line="340" w:lineRule="exact"/>
        <w:ind w:firstLine="420" w:firstLineChars="200"/>
        <w:rPr>
          <w:rFonts w:ascii="宋体" w:hAnsi="宋体"/>
          <w:szCs w:val="21"/>
        </w:rPr>
      </w:pPr>
      <w:r>
        <w:rPr>
          <w:rFonts w:hint="eastAsia" w:ascii="宋体" w:hAnsi="宋体"/>
          <w:szCs w:val="21"/>
        </w:rPr>
        <w:t>5</w:t>
      </w:r>
      <w:r>
        <w:rPr>
          <w:rFonts w:ascii="宋体" w:hAnsi="宋体"/>
          <w:szCs w:val="21"/>
        </w:rPr>
        <w:t>.</w:t>
      </w:r>
      <w:r>
        <w:rPr>
          <w:rFonts w:hint="eastAsia" w:ascii="宋体" w:hAnsi="宋体"/>
          <w:szCs w:val="21"/>
        </w:rPr>
        <w:t>4使用说明书、质量检验证明书、随配附件和工具以及清单一并附于货物内</w:t>
      </w:r>
      <w:r>
        <w:rPr>
          <w:rFonts w:hint="eastAsia" w:ascii="宋体" w:hAnsi="宋体"/>
          <w:color w:val="FF0000"/>
          <w:szCs w:val="21"/>
        </w:rPr>
        <w:t>。</w:t>
      </w:r>
      <w:r>
        <w:rPr>
          <w:rFonts w:hint="eastAsia" w:ascii="宋体" w:hAnsi="宋体"/>
          <w:szCs w:val="21"/>
        </w:rPr>
        <w:t>进口设备必须提供报关单。</w:t>
      </w:r>
    </w:p>
    <w:p w14:paraId="78BF6FBF">
      <w:pPr>
        <w:snapToGrid w:val="0"/>
        <w:spacing w:line="340" w:lineRule="exact"/>
        <w:ind w:firstLine="422" w:firstLineChars="200"/>
        <w:rPr>
          <w:rFonts w:ascii="宋体" w:hAnsi="宋体"/>
          <w:b/>
          <w:szCs w:val="21"/>
        </w:rPr>
      </w:pPr>
      <w:r>
        <w:rPr>
          <w:rFonts w:hint="eastAsia" w:ascii="宋体" w:hAnsi="宋体"/>
          <w:b/>
          <w:szCs w:val="21"/>
        </w:rPr>
        <w:t>6</w:t>
      </w:r>
      <w:r>
        <w:rPr>
          <w:rFonts w:ascii="宋体" w:hAnsi="宋体"/>
          <w:b/>
          <w:szCs w:val="21"/>
        </w:rPr>
        <w:t>.</w:t>
      </w:r>
      <w:r>
        <w:rPr>
          <w:rFonts w:hint="eastAsia" w:ascii="宋体" w:hAnsi="宋体"/>
          <w:b/>
          <w:szCs w:val="21"/>
        </w:rPr>
        <w:t>安装和培训</w:t>
      </w:r>
    </w:p>
    <w:p w14:paraId="17C403B4">
      <w:pPr>
        <w:snapToGrid w:val="0"/>
        <w:spacing w:line="340" w:lineRule="exact"/>
        <w:ind w:firstLine="420" w:firstLineChars="200"/>
        <w:rPr>
          <w:rFonts w:ascii="宋体" w:hAnsi="宋体"/>
          <w:szCs w:val="21"/>
        </w:rPr>
      </w:pPr>
      <w:r>
        <w:rPr>
          <w:rFonts w:hint="eastAsia" w:ascii="宋体" w:hAnsi="宋体"/>
          <w:szCs w:val="21"/>
        </w:rPr>
        <w:t>6</w:t>
      </w:r>
      <w:r>
        <w:rPr>
          <w:rFonts w:ascii="宋体" w:hAnsi="宋体"/>
          <w:szCs w:val="21"/>
        </w:rPr>
        <w:t>.</w:t>
      </w:r>
      <w:r>
        <w:rPr>
          <w:rFonts w:hint="eastAsia" w:ascii="宋体" w:hAnsi="宋体"/>
          <w:szCs w:val="21"/>
        </w:rPr>
        <w:t>1安装时间：</w:t>
      </w:r>
      <w:r>
        <w:rPr>
          <w:rFonts w:hint="eastAsia" w:ascii="宋体" w:hAnsi="宋体"/>
          <w:i/>
          <w:color w:val="FF0000"/>
          <w:sz w:val="18"/>
          <w:szCs w:val="18"/>
          <w:u w:val="single"/>
        </w:rPr>
        <w:t xml:space="preserve"> </w:t>
      </w:r>
      <w:r>
        <w:rPr>
          <w:rFonts w:hint="eastAsia" w:ascii="宋体" w:hAnsi="宋体"/>
          <w:i/>
          <w:color w:val="auto"/>
          <w:sz w:val="18"/>
          <w:szCs w:val="18"/>
          <w:u w:val="single"/>
        </w:rPr>
        <w:t>在本合同约定的交付时间前全部安装调试合格完毕</w:t>
      </w:r>
      <w:r>
        <w:rPr>
          <w:rFonts w:hint="eastAsia" w:ascii="宋体" w:hAnsi="宋体"/>
          <w:szCs w:val="21"/>
        </w:rPr>
        <w:t>；安装地点：</w:t>
      </w:r>
      <w:r>
        <w:rPr>
          <w:rFonts w:hint="eastAsia" w:ascii="宋体" w:hAnsi="宋体"/>
          <w:szCs w:val="21"/>
          <w:u w:val="single"/>
        </w:rPr>
        <w:t>由甲方指定</w:t>
      </w:r>
      <w:r>
        <w:rPr>
          <w:rFonts w:hint="eastAsia" w:ascii="宋体" w:hAnsi="宋体"/>
          <w:szCs w:val="21"/>
        </w:rPr>
        <w:t>。</w:t>
      </w:r>
    </w:p>
    <w:p w14:paraId="4195965D">
      <w:pPr>
        <w:snapToGrid w:val="0"/>
        <w:spacing w:line="340" w:lineRule="exact"/>
        <w:ind w:firstLine="420" w:firstLineChars="200"/>
        <w:rPr>
          <w:rFonts w:ascii="宋体" w:hAnsi="宋体"/>
          <w:szCs w:val="21"/>
        </w:rPr>
      </w:pPr>
      <w:r>
        <w:rPr>
          <w:rFonts w:hint="eastAsia" w:ascii="宋体" w:hAnsi="宋体"/>
          <w:szCs w:val="21"/>
        </w:rPr>
        <w:t>6</w:t>
      </w:r>
      <w:r>
        <w:rPr>
          <w:rFonts w:ascii="宋体" w:hAnsi="宋体"/>
          <w:szCs w:val="21"/>
        </w:rPr>
        <w:t>.2</w:t>
      </w:r>
      <w:r>
        <w:rPr>
          <w:rFonts w:hint="eastAsia" w:ascii="宋体" w:hAnsi="宋体"/>
          <w:szCs w:val="21"/>
        </w:rPr>
        <w:t>.甲方应提供必要安装条件（如场地、电源、水源等）。</w:t>
      </w:r>
    </w:p>
    <w:p w14:paraId="5D5043CD">
      <w:pPr>
        <w:snapToGrid w:val="0"/>
        <w:spacing w:line="340" w:lineRule="exact"/>
        <w:ind w:firstLine="420" w:firstLineChars="200"/>
        <w:rPr>
          <w:rFonts w:ascii="宋体" w:hAnsi="宋体"/>
          <w:szCs w:val="21"/>
          <w:u w:val="single"/>
        </w:rPr>
      </w:pPr>
      <w:r>
        <w:rPr>
          <w:rFonts w:hint="eastAsia" w:ascii="宋体" w:hAnsi="宋体"/>
          <w:szCs w:val="21"/>
        </w:rPr>
        <w:t>6</w:t>
      </w:r>
      <w:r>
        <w:rPr>
          <w:rFonts w:ascii="宋体" w:hAnsi="宋体"/>
          <w:szCs w:val="21"/>
        </w:rPr>
        <w:t>.3</w:t>
      </w:r>
      <w:r>
        <w:rPr>
          <w:rFonts w:hint="eastAsia" w:ascii="宋体" w:hAnsi="宋体"/>
          <w:szCs w:val="21"/>
        </w:rPr>
        <w:t>乙方应当按照采购文件规定和投标(响应)文件的承诺对甲方有关人员进行培训。培训时间、地点：</w:t>
      </w:r>
      <w:r>
        <w:rPr>
          <w:rFonts w:hint="eastAsia" w:ascii="宋体" w:hAnsi="宋体"/>
          <w:szCs w:val="21"/>
          <w:u w:val="single"/>
        </w:rPr>
        <w:t>由甲方指定。</w:t>
      </w:r>
    </w:p>
    <w:p w14:paraId="6D059E60">
      <w:pPr>
        <w:snapToGrid w:val="0"/>
        <w:spacing w:line="340" w:lineRule="exact"/>
        <w:ind w:firstLine="420" w:firstLineChars="200"/>
        <w:rPr>
          <w:rFonts w:ascii="宋体" w:hAnsi="宋体"/>
          <w:szCs w:val="21"/>
        </w:rPr>
      </w:pPr>
      <w:r>
        <w:rPr>
          <w:rFonts w:hint="eastAsia" w:ascii="宋体" w:hAnsi="宋体"/>
          <w:szCs w:val="21"/>
        </w:rPr>
        <w:t>6</w:t>
      </w:r>
      <w:r>
        <w:rPr>
          <w:rFonts w:ascii="宋体" w:hAnsi="宋体"/>
          <w:szCs w:val="21"/>
        </w:rPr>
        <w:t>.4</w:t>
      </w:r>
      <w:r>
        <w:rPr>
          <w:rFonts w:hint="eastAsia" w:ascii="宋体" w:hAnsi="宋体"/>
          <w:szCs w:val="21"/>
        </w:rPr>
        <w:t>乙方应按采购文件规定和响应文件的承诺向甲方提供相应的培训服务，并提供所培训服务内容的相关技术资料，乙方提供不符合采购文件规定、投标(响应)文件承诺和本合同规定的培训服务，甲方有权拒绝接受。</w:t>
      </w:r>
    </w:p>
    <w:p w14:paraId="00E4CB1E">
      <w:pPr>
        <w:snapToGrid w:val="0"/>
        <w:spacing w:line="340" w:lineRule="exact"/>
        <w:rPr>
          <w:rFonts w:hAnsi="宋体"/>
        </w:rPr>
      </w:pPr>
    </w:p>
    <w:p w14:paraId="1CF5C48C">
      <w:pPr>
        <w:snapToGrid w:val="0"/>
        <w:spacing w:line="340" w:lineRule="exact"/>
        <w:rPr>
          <w:rFonts w:asciiTheme="minorEastAsia" w:hAnsiTheme="minorEastAsia" w:eastAsiaTheme="minorEastAsia"/>
          <w:b/>
          <w:szCs w:val="21"/>
        </w:rPr>
      </w:pPr>
      <w:r>
        <w:rPr>
          <w:rFonts w:hint="eastAsia" w:asciiTheme="minorEastAsia" w:hAnsiTheme="minorEastAsia" w:eastAsiaTheme="minorEastAsia"/>
          <w:b/>
          <w:szCs w:val="21"/>
        </w:rPr>
        <w:t>7 . 调试和验收</w:t>
      </w:r>
    </w:p>
    <w:p w14:paraId="4F23E1BE">
      <w:pPr>
        <w:snapToGrid w:val="0"/>
        <w:spacing w:line="340" w:lineRule="exact"/>
        <w:rPr>
          <w:rFonts w:asciiTheme="minorEastAsia" w:hAnsiTheme="minorEastAsia" w:eastAsiaTheme="minorEastAsia"/>
          <w:szCs w:val="21"/>
        </w:rPr>
      </w:pPr>
      <w:r>
        <w:rPr>
          <w:rFonts w:hint="eastAsia" w:asciiTheme="minorEastAsia" w:hAnsiTheme="minorEastAsia" w:eastAsiaTheme="minorEastAsia"/>
          <w:szCs w:val="21"/>
          <w:lang w:val="en-US" w:eastAsia="zh-CN"/>
        </w:rPr>
        <w:t>7.</w:t>
      </w:r>
      <w:r>
        <w:rPr>
          <w:rFonts w:hint="eastAsia" w:asciiTheme="minorEastAsia" w:hAnsiTheme="minorEastAsia" w:eastAsiaTheme="minorEastAsia"/>
          <w:szCs w:val="21"/>
        </w:rPr>
        <w:t>1.甲方对乙方提交的货物依据</w:t>
      </w:r>
      <w:r>
        <w:rPr>
          <w:rFonts w:hint="eastAsia" w:hAnsi="宋体"/>
        </w:rPr>
        <w:t>采购文件</w:t>
      </w:r>
      <w:r>
        <w:rPr>
          <w:rFonts w:hint="eastAsia" w:asciiTheme="minorEastAsia" w:hAnsiTheme="minorEastAsia" w:eastAsiaTheme="minorEastAsia"/>
          <w:szCs w:val="21"/>
        </w:rPr>
        <w:t>上的技术规格要求和国家有关质量标准进行现场初步验收，外观、说明书符合</w:t>
      </w:r>
      <w:r>
        <w:rPr>
          <w:rFonts w:hint="eastAsia" w:hAnsi="宋体"/>
        </w:rPr>
        <w:t>采购文件</w:t>
      </w:r>
      <w:r>
        <w:rPr>
          <w:rFonts w:hint="eastAsia" w:asciiTheme="minorEastAsia" w:hAnsiTheme="minorEastAsia" w:eastAsiaTheme="minorEastAsia"/>
          <w:szCs w:val="21"/>
        </w:rPr>
        <w:t>技术要求的，给予签收，初步验收不合格的不予签收。</w:t>
      </w:r>
    </w:p>
    <w:p w14:paraId="37EBBB11">
      <w:pPr>
        <w:snapToGrid w:val="0"/>
        <w:spacing w:line="340" w:lineRule="exact"/>
        <w:rPr>
          <w:rFonts w:asciiTheme="minorEastAsia" w:hAnsiTheme="minorEastAsia" w:eastAsiaTheme="minorEastAsia"/>
          <w:szCs w:val="21"/>
        </w:rPr>
      </w:pPr>
      <w:r>
        <w:rPr>
          <w:rFonts w:hint="eastAsia" w:asciiTheme="minorEastAsia" w:hAnsiTheme="minorEastAsia" w:eastAsiaTheme="minorEastAsia"/>
          <w:szCs w:val="21"/>
          <w:lang w:val="en-US" w:eastAsia="zh-CN"/>
        </w:rPr>
        <w:t>7.</w:t>
      </w:r>
      <w:r>
        <w:rPr>
          <w:rFonts w:hint="eastAsia" w:asciiTheme="minorEastAsia" w:hAnsiTheme="minorEastAsia" w:eastAsiaTheme="minorEastAsia"/>
        </w:rPr>
        <w:t>2.乙方交货前应对产品作出全面检查和对验收文件进行整理，并列出清单，作为甲方收货验收和使用的技术条件依据，检验的结果应随货物交甲方。</w:t>
      </w:r>
    </w:p>
    <w:p w14:paraId="0656A16A">
      <w:pPr>
        <w:snapToGrid w:val="0"/>
        <w:spacing w:line="340" w:lineRule="exact"/>
        <w:rPr>
          <w:rFonts w:hAnsi="宋体"/>
        </w:rPr>
      </w:pPr>
      <w:r>
        <w:rPr>
          <w:rFonts w:hint="eastAsia" w:asciiTheme="minorEastAsia" w:hAnsiTheme="minorEastAsia" w:eastAsiaTheme="minorEastAsia"/>
          <w:szCs w:val="21"/>
          <w:lang w:val="en-US" w:eastAsia="zh-CN"/>
        </w:rPr>
        <w:t>7.</w:t>
      </w:r>
      <w:r>
        <w:rPr>
          <w:rFonts w:hint="eastAsia" w:asciiTheme="minorEastAsia" w:hAnsiTheme="minorEastAsia" w:eastAsiaTheme="minorEastAsia"/>
          <w:szCs w:val="21"/>
        </w:rPr>
        <w:t>3.甲方对乙方提供的货物在使用前进行调试时，乙方需负责安装并培训甲方的使用操作人员，并协助甲方一起调试，直到货物安装调试后符合技术要求</w:t>
      </w:r>
      <w:r>
        <w:rPr>
          <w:rFonts w:hint="eastAsia" w:hAnsi="宋体"/>
        </w:rPr>
        <w:t>，甲方才做最终验收。</w:t>
      </w:r>
    </w:p>
    <w:p w14:paraId="3BE14736">
      <w:pPr>
        <w:snapToGrid w:val="0"/>
        <w:spacing w:line="340" w:lineRule="exact"/>
        <w:rPr>
          <w:rFonts w:ascii="宋体" w:hAnsi="宋体"/>
          <w:szCs w:val="21"/>
        </w:rPr>
      </w:pPr>
      <w:r>
        <w:rPr>
          <w:rFonts w:hint="eastAsia" w:asciiTheme="minorEastAsia" w:hAnsiTheme="minorEastAsia" w:eastAsiaTheme="minorEastAsia"/>
          <w:szCs w:val="21"/>
          <w:lang w:val="en-US" w:eastAsia="zh-CN"/>
        </w:rPr>
        <w:t>7.</w:t>
      </w:r>
      <w:r>
        <w:rPr>
          <w:rFonts w:hint="eastAsia" w:ascii="宋体" w:hAnsi="宋体"/>
          <w:szCs w:val="21"/>
        </w:rPr>
        <w:t>4.甲方应当在到货（安装、调试完）后，由甲方确认货物满足验收条件后</w:t>
      </w:r>
      <w:r>
        <w:rPr>
          <w:rFonts w:hint="eastAsia" w:ascii="宋体" w:hAnsi="宋体"/>
          <w:szCs w:val="21"/>
          <w:u w:val="single"/>
        </w:rPr>
        <w:t>7个工作日</w:t>
      </w:r>
      <w:r>
        <w:rPr>
          <w:rFonts w:hint="eastAsia" w:ascii="宋体" w:hAnsi="宋体"/>
          <w:szCs w:val="21"/>
        </w:rPr>
        <w:t>内进行验收，逾期不验收的，乙方可视同验收合格。验收时乙方必须在现场，验收完毕后作出验收结果报告，验收合格后由甲乙双方签署验收报告单，甲乙双方各执一份，验收费用由乙方负责。</w:t>
      </w:r>
    </w:p>
    <w:p w14:paraId="31BF9030">
      <w:pPr>
        <w:snapToGrid w:val="0"/>
        <w:spacing w:line="340" w:lineRule="exact"/>
        <w:rPr>
          <w:rFonts w:ascii="宋体" w:hAnsi="宋体"/>
          <w:szCs w:val="21"/>
        </w:rPr>
      </w:pPr>
      <w:r>
        <w:rPr>
          <w:rFonts w:hint="eastAsia" w:asciiTheme="minorEastAsia" w:hAnsiTheme="minorEastAsia" w:eastAsiaTheme="minorEastAsia"/>
          <w:szCs w:val="21"/>
          <w:lang w:val="en-US" w:eastAsia="zh-CN"/>
        </w:rPr>
        <w:t>7.</w:t>
      </w:r>
      <w:r>
        <w:rPr>
          <w:rFonts w:hint="eastAsia" w:ascii="宋体" w:hAnsi="宋体"/>
          <w:szCs w:val="21"/>
        </w:rPr>
        <w:t>5.采购人委托采购代理机构组织的验收项目，其验收时间以该项目验收方案确定的验收时间为准，验收结果以该项目验收报告结论为准。</w:t>
      </w:r>
    </w:p>
    <w:p w14:paraId="2836BA45">
      <w:pPr>
        <w:snapToGrid w:val="0"/>
        <w:spacing w:line="340" w:lineRule="exact"/>
        <w:rPr>
          <w:rFonts w:ascii="宋体" w:hAnsi="宋体"/>
          <w:szCs w:val="21"/>
        </w:rPr>
      </w:pPr>
      <w:r>
        <w:rPr>
          <w:rFonts w:hint="eastAsia" w:asciiTheme="minorEastAsia" w:hAnsiTheme="minorEastAsia" w:eastAsiaTheme="minorEastAsia"/>
          <w:szCs w:val="21"/>
          <w:lang w:val="en-US" w:eastAsia="zh-CN"/>
        </w:rPr>
        <w:t>7.</w:t>
      </w:r>
      <w:r>
        <w:rPr>
          <w:rFonts w:hint="eastAsia" w:ascii="宋体" w:hAnsi="宋体"/>
          <w:szCs w:val="21"/>
        </w:rPr>
        <w:t>6.在验收过程中发现乙方有违约问题，可暂缓资金结算，待违约问题解决后，方可办理资金结算事宜。</w:t>
      </w:r>
    </w:p>
    <w:p w14:paraId="2E9DD54E">
      <w:pPr>
        <w:snapToGrid w:val="0"/>
        <w:spacing w:line="340" w:lineRule="exact"/>
        <w:rPr>
          <w:rFonts w:ascii="宋体" w:hAnsi="宋体"/>
          <w:szCs w:val="21"/>
        </w:rPr>
      </w:pPr>
      <w:r>
        <w:rPr>
          <w:rFonts w:hint="eastAsia" w:asciiTheme="minorEastAsia" w:hAnsiTheme="minorEastAsia" w:eastAsiaTheme="minorEastAsia"/>
          <w:szCs w:val="21"/>
          <w:lang w:val="en-US" w:eastAsia="zh-CN"/>
        </w:rPr>
        <w:t>7.</w:t>
      </w:r>
      <w:r>
        <w:rPr>
          <w:rFonts w:hint="eastAsia" w:ascii="宋体" w:hAnsi="宋体"/>
          <w:szCs w:val="21"/>
        </w:rPr>
        <w:t>7.甲方对验收有异议的，在验收后5个工作日内以书面形式向乙方提出，乙方应自收到甲方书面异议后</w:t>
      </w:r>
      <w:r>
        <w:rPr>
          <w:rFonts w:hint="eastAsia" w:ascii="宋体" w:hAnsi="宋体"/>
          <w:szCs w:val="21"/>
          <w:u w:val="single"/>
        </w:rPr>
        <w:t xml:space="preserve"> 10</w:t>
      </w:r>
      <w:r>
        <w:rPr>
          <w:rFonts w:hint="eastAsia" w:ascii="宋体" w:hAnsi="宋体"/>
          <w:szCs w:val="21"/>
        </w:rPr>
        <w:t>日内及时予以解决。</w:t>
      </w:r>
    </w:p>
    <w:p w14:paraId="0436A752">
      <w:pPr>
        <w:snapToGrid w:val="0"/>
        <w:spacing w:line="340" w:lineRule="exact"/>
        <w:rPr>
          <w:rFonts w:ascii="宋体" w:hAnsi="宋体"/>
          <w:szCs w:val="21"/>
        </w:rPr>
      </w:pPr>
      <w:r>
        <w:rPr>
          <w:rFonts w:hint="eastAsia" w:asciiTheme="minorEastAsia" w:hAnsiTheme="minorEastAsia" w:eastAsiaTheme="minorEastAsia"/>
          <w:szCs w:val="21"/>
          <w:lang w:val="en-US" w:eastAsia="zh-CN"/>
        </w:rPr>
        <w:t>7.</w:t>
      </w:r>
      <w:r>
        <w:rPr>
          <w:rFonts w:hint="eastAsia" w:ascii="宋体" w:hAnsi="宋体"/>
          <w:szCs w:val="21"/>
        </w:rPr>
        <w:t>8.对技术复杂的货物，甲方应请国家认可的专业检测机构参与初步验收及最终验收，并由其出具质量检测报告。</w:t>
      </w:r>
    </w:p>
    <w:p w14:paraId="4E1145A4">
      <w:pPr>
        <w:snapToGrid w:val="0"/>
        <w:spacing w:line="340" w:lineRule="exact"/>
        <w:rPr>
          <w:rFonts w:ascii="宋体" w:hAnsi="宋体"/>
          <w:b/>
          <w:szCs w:val="21"/>
        </w:rPr>
      </w:pPr>
      <w:r>
        <w:rPr>
          <w:rFonts w:hint="eastAsia" w:ascii="宋体" w:hAnsi="宋体"/>
          <w:b/>
          <w:szCs w:val="21"/>
        </w:rPr>
        <w:t>8．　付款方式</w:t>
      </w:r>
    </w:p>
    <w:p w14:paraId="5F0B4E93">
      <w:pPr>
        <w:snapToGrid w:val="0"/>
        <w:spacing w:line="340" w:lineRule="exact"/>
        <w:rPr>
          <w:rFonts w:cs="Arial" w:asciiTheme="minorEastAsia" w:hAnsiTheme="minorEastAsia" w:eastAsiaTheme="minorEastAsia"/>
          <w:szCs w:val="21"/>
        </w:rPr>
      </w:pPr>
      <w:r>
        <w:rPr>
          <w:rFonts w:hint="eastAsia" w:cs="Arial" w:asciiTheme="minorEastAsia" w:hAnsiTheme="minorEastAsia" w:eastAsiaTheme="minorEastAsia"/>
          <w:szCs w:val="21"/>
          <w:lang w:val="en-US" w:eastAsia="zh-CN"/>
        </w:rPr>
        <w:t>8.</w:t>
      </w:r>
      <w:r>
        <w:rPr>
          <w:rFonts w:cs="Arial" w:asciiTheme="minorEastAsia" w:hAnsiTheme="minorEastAsia" w:eastAsiaTheme="minorEastAsia"/>
          <w:szCs w:val="21"/>
        </w:rPr>
        <w:t>1.当实际使用数量发生变化时，乙方应根据实际使用量供货，合同的最终结算金额按实际使用量乘以</w:t>
      </w:r>
      <w:r>
        <w:rPr>
          <w:rFonts w:hint="eastAsia" w:cs="Arial" w:asciiTheme="minorEastAsia" w:hAnsiTheme="minorEastAsia" w:eastAsiaTheme="minorEastAsia"/>
          <w:szCs w:val="21"/>
        </w:rPr>
        <w:t>成交单价</w:t>
      </w:r>
      <w:r>
        <w:rPr>
          <w:rFonts w:cs="Arial" w:asciiTheme="minorEastAsia" w:hAnsiTheme="minorEastAsia" w:eastAsiaTheme="minorEastAsia"/>
          <w:szCs w:val="21"/>
        </w:rPr>
        <w:t>进行计算（使用量变更导致合同变动部分的金额不得超过本采购合同金额的10%，且另需签订补充合同）。</w:t>
      </w:r>
    </w:p>
    <w:p w14:paraId="3A690B8E">
      <w:pPr>
        <w:snapToGrid w:val="0"/>
        <w:spacing w:line="340" w:lineRule="exact"/>
      </w:pPr>
      <w:r>
        <w:rPr>
          <w:rFonts w:hint="eastAsia" w:ascii="宋体" w:hAnsi="宋体"/>
          <w:szCs w:val="21"/>
          <w:lang w:val="en-US" w:eastAsia="zh-CN"/>
        </w:rPr>
        <w:t>8.</w:t>
      </w:r>
      <w:r>
        <w:rPr>
          <w:rFonts w:ascii="宋体" w:hAnsi="宋体"/>
          <w:szCs w:val="21"/>
        </w:rPr>
        <w:t>2</w:t>
      </w:r>
      <w:r>
        <w:rPr>
          <w:rFonts w:hint="eastAsia" w:ascii="宋体" w:hAnsi="宋体"/>
          <w:szCs w:val="21"/>
        </w:rPr>
        <w:t>.付款方式：</w:t>
      </w:r>
      <w:r>
        <w:rPr>
          <w:rFonts w:hint="eastAsia"/>
        </w:rPr>
        <w:t>本项目通过最终验收后，乙方开具全额发票（教学科研类国产设备必须开具增值税专用发票）给甲方，甲方收到发票后10个工作日内一次性付清100%的合同价款（无息）。如果项目尚未通过甲方验收，但根据项目实际情况确需提前支付预付款的，甲方可要求乙方提供由银行出具的等额预付款保函（保函有效期应涵盖合同约定的交货期和验收合格期），甲方收到有效的银行保函后支付相应的预付款；项目通过最终验收且甲方收到乙方开具的全额发票后，乙方可根据需要向甲方领取预付款保函（无息）。</w:t>
      </w:r>
    </w:p>
    <w:p w14:paraId="46C88318">
      <w:pPr>
        <w:snapToGrid w:val="0"/>
        <w:spacing w:line="340" w:lineRule="exact"/>
        <w:rPr>
          <w:rFonts w:ascii="宋体" w:hAnsi="宋体"/>
          <w:b/>
          <w:szCs w:val="21"/>
        </w:rPr>
      </w:pPr>
      <w:r>
        <w:rPr>
          <w:rFonts w:hint="eastAsia" w:ascii="宋体" w:hAnsi="宋体"/>
          <w:b/>
          <w:szCs w:val="21"/>
        </w:rPr>
        <w:t>9.  税费</w:t>
      </w:r>
    </w:p>
    <w:p w14:paraId="7FF54878">
      <w:pPr>
        <w:snapToGrid w:val="0"/>
        <w:spacing w:line="340" w:lineRule="exact"/>
        <w:rPr>
          <w:rFonts w:ascii="宋体" w:hAnsi="宋体"/>
          <w:szCs w:val="21"/>
        </w:rPr>
      </w:pPr>
      <w:r>
        <w:rPr>
          <w:rFonts w:hint="eastAsia" w:ascii="宋体" w:hAnsi="宋体"/>
          <w:szCs w:val="21"/>
        </w:rPr>
        <w:t>本合同执行中相关的一切税费均由乙方负担。</w:t>
      </w:r>
    </w:p>
    <w:p w14:paraId="07F83BF5">
      <w:pPr>
        <w:snapToGrid w:val="0"/>
        <w:spacing w:line="340" w:lineRule="exact"/>
        <w:rPr>
          <w:rFonts w:ascii="宋体" w:hAnsi="宋体"/>
          <w:b/>
          <w:szCs w:val="21"/>
        </w:rPr>
      </w:pPr>
      <w:r>
        <w:rPr>
          <w:rFonts w:hint="eastAsia" w:ascii="宋体" w:hAnsi="宋体"/>
          <w:b/>
          <w:szCs w:val="21"/>
        </w:rPr>
        <w:t>10.  售后服务及质保期</w:t>
      </w:r>
    </w:p>
    <w:p w14:paraId="69AC6F33">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bCs/>
        </w:rPr>
        <w:t>1.</w:t>
      </w:r>
      <w:r>
        <w:rPr>
          <w:rFonts w:hint="eastAsia" w:ascii="宋体" w:hAnsi="宋体"/>
        </w:rPr>
        <w:t>乙方应按</w:t>
      </w:r>
      <w:r>
        <w:rPr>
          <w:rFonts w:hint="eastAsia" w:hAnsi="宋体"/>
        </w:rPr>
        <w:t>采购文件</w:t>
      </w:r>
      <w:r>
        <w:rPr>
          <w:rFonts w:hint="eastAsia" w:ascii="宋体" w:hAnsi="宋体"/>
        </w:rPr>
        <w:t>规定的产品名称、生产厂家、品牌、规格型号、技术参数、质量标准向甲方提供未</w:t>
      </w:r>
      <w:r>
        <w:rPr>
          <w:rFonts w:hint="eastAsia" w:hAnsi="宋体"/>
        </w:rPr>
        <w:t>经使用的全新产品。不符合要求的，根据实际情况，经双方协商，可按以下办法处理</w:t>
      </w:r>
      <w:r>
        <w:rPr>
          <w:rFonts w:hint="eastAsia" w:ascii="宋体" w:hAnsi="宋体"/>
          <w:szCs w:val="21"/>
        </w:rPr>
        <w:t>：</w:t>
      </w:r>
    </w:p>
    <w:p w14:paraId="1A7ECF2A">
      <w:pPr>
        <w:snapToGrid w:val="0"/>
        <w:spacing w:line="340" w:lineRule="exact"/>
        <w:rPr>
          <w:rFonts w:hAnsi="宋体"/>
        </w:rPr>
      </w:pPr>
      <w:r>
        <w:rPr>
          <w:rFonts w:hint="eastAsia" w:hAnsi="宋体"/>
        </w:rPr>
        <w:t>⑴更换：由乙方承担所发生的全部费用。</w:t>
      </w:r>
    </w:p>
    <w:p w14:paraId="7D45D9BC">
      <w:pPr>
        <w:snapToGrid w:val="0"/>
        <w:spacing w:line="340" w:lineRule="exact"/>
        <w:rPr>
          <w:rFonts w:hAnsi="宋体"/>
        </w:rPr>
      </w:pPr>
      <w:r>
        <w:rPr>
          <w:rFonts w:hint="eastAsia" w:hAnsi="宋体"/>
        </w:rPr>
        <w:t>⑵</w:t>
      </w:r>
      <w:r>
        <w:rPr>
          <w:rFonts w:hint="eastAsia" w:ascii="宋体" w:hAnsi="宋体"/>
        </w:rPr>
        <w:t>贬值处理</w:t>
      </w:r>
      <w:r>
        <w:rPr>
          <w:rFonts w:hint="eastAsia" w:hAnsi="宋体"/>
        </w:rPr>
        <w:t>：由甲乙双方合议定价。</w:t>
      </w:r>
    </w:p>
    <w:p w14:paraId="1876F2BA">
      <w:pPr>
        <w:snapToGrid w:val="0"/>
        <w:spacing w:line="340" w:lineRule="exact"/>
        <w:rPr>
          <w:rFonts w:hAnsi="宋体"/>
        </w:rPr>
      </w:pPr>
      <w:r>
        <w:rPr>
          <w:rFonts w:hint="eastAsia" w:hAnsi="宋体"/>
        </w:rPr>
        <w:t>⑶</w:t>
      </w:r>
      <w:r>
        <w:rPr>
          <w:rFonts w:hint="eastAsia" w:ascii="宋体" w:hAnsi="宋体"/>
        </w:rPr>
        <w:t>退货处理</w:t>
      </w:r>
      <w:r>
        <w:rPr>
          <w:rFonts w:hint="eastAsia" w:hAnsi="宋体"/>
        </w:rPr>
        <w:t>：乙方应退还甲方支付的合同款，同时应承担该货物的直接费用（运输、保险、检验、</w:t>
      </w:r>
      <w:r>
        <w:rPr>
          <w:rFonts w:hint="eastAsia" w:ascii="宋体" w:hAnsi="宋体"/>
        </w:rPr>
        <w:t>货款利息及银行手续费等</w:t>
      </w:r>
      <w:r>
        <w:rPr>
          <w:rFonts w:hint="eastAsia" w:hAnsi="宋体"/>
        </w:rPr>
        <w:t>）。</w:t>
      </w:r>
    </w:p>
    <w:p w14:paraId="706B9BB0">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2.</w:t>
      </w:r>
      <w:r>
        <w:rPr>
          <w:rFonts w:hint="eastAsia" w:ascii="宋体" w:hAnsi="宋体"/>
        </w:rPr>
        <w:t>如在使用过程中发生质量问题</w:t>
      </w:r>
      <w:r>
        <w:rPr>
          <w:rFonts w:hint="eastAsia" w:ascii="宋体" w:hAnsi="宋体"/>
          <w:szCs w:val="21"/>
        </w:rPr>
        <w:t>，乙方在接到甲方通知后在按</w:t>
      </w:r>
      <w:r>
        <w:rPr>
          <w:rFonts w:hint="eastAsia" w:ascii="宋体" w:hAnsi="宋体"/>
          <w:szCs w:val="21"/>
          <w:u w:val="single"/>
        </w:rPr>
        <w:t>乙方响应文件中承诺的不超过采购文件要求的响应时间小时内</w:t>
      </w:r>
      <w:r>
        <w:rPr>
          <w:rFonts w:hint="eastAsia" w:ascii="宋体" w:hAnsi="宋体"/>
          <w:szCs w:val="21"/>
        </w:rPr>
        <w:t>到达甲方现场处理。</w:t>
      </w:r>
    </w:p>
    <w:p w14:paraId="0861BE2E">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3.在质保期内，乙方应对货物出现的质量及安全问题负责处理解决并承担一切费用。</w:t>
      </w:r>
    </w:p>
    <w:p w14:paraId="6B31C7C7">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4.乙方应按照国家有关法律法规和“三包”规定以及</w:t>
      </w:r>
      <w:r>
        <w:rPr>
          <w:rFonts w:hint="eastAsia" w:hAnsi="宋体"/>
        </w:rPr>
        <w:t>采购文件要求、</w:t>
      </w:r>
      <w:r>
        <w:rPr>
          <w:rFonts w:hint="eastAsia" w:ascii="宋体" w:hAnsi="宋体"/>
          <w:szCs w:val="21"/>
        </w:rPr>
        <w:t>响应文件承诺和本合同所附的《售后服务承诺书》，为甲方提供售后服务。</w:t>
      </w:r>
    </w:p>
    <w:p w14:paraId="47CDE374">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5.货物质保期：按乙方响应文件中承诺的不少于</w:t>
      </w:r>
      <w:r>
        <w:rPr>
          <w:rFonts w:hint="eastAsia" w:hAnsi="宋体"/>
        </w:rPr>
        <w:t>采购文件要求</w:t>
      </w:r>
      <w:r>
        <w:rPr>
          <w:rFonts w:hint="eastAsia" w:ascii="宋体" w:hAnsi="宋体"/>
          <w:szCs w:val="21"/>
        </w:rPr>
        <w:t>的免费保修期限。</w:t>
      </w:r>
    </w:p>
    <w:p w14:paraId="477D5E4D">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6.乙方提供的服务承诺和售后服务及保修期责任等其它具体约定事项（见合同附件）。</w:t>
      </w:r>
    </w:p>
    <w:p w14:paraId="4808560E">
      <w:pPr>
        <w:snapToGrid w:val="0"/>
        <w:spacing w:line="340" w:lineRule="exact"/>
        <w:rPr>
          <w:rFonts w:ascii="宋体" w:hAnsi="宋体"/>
          <w:szCs w:val="21"/>
        </w:rPr>
      </w:pPr>
      <w:r>
        <w:rPr>
          <w:rFonts w:hint="eastAsia" w:ascii="宋体" w:hAnsi="宋体"/>
          <w:bCs/>
          <w:lang w:val="en-US" w:eastAsia="zh-CN"/>
        </w:rPr>
        <w:t>10.</w:t>
      </w:r>
      <w:r>
        <w:rPr>
          <w:rFonts w:hint="eastAsia" w:ascii="宋体" w:hAnsi="宋体"/>
          <w:szCs w:val="21"/>
        </w:rPr>
        <w:t>7.上述的货物免费保修期为</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szCs w:val="21"/>
        </w:rPr>
        <w:t>（</w:t>
      </w:r>
      <w:r>
        <w:rPr>
          <w:rFonts w:hint="eastAsia"/>
        </w:rPr>
        <w:t>免费保修期自设备验收合格之日起计算，</w:t>
      </w:r>
      <w:r>
        <w:rPr>
          <w:rFonts w:hint="eastAsia" w:ascii="宋体" w:hAnsi="宋体"/>
          <w:szCs w:val="21"/>
        </w:rPr>
        <w:t>若乙方投标（响应）承诺免费保修期超过</w:t>
      </w:r>
      <w:r>
        <w:rPr>
          <w:rFonts w:hint="eastAsia" w:hAnsi="宋体"/>
        </w:rPr>
        <w:t>采购文件</w:t>
      </w:r>
      <w:r>
        <w:rPr>
          <w:rFonts w:hint="eastAsia" w:ascii="宋体" w:hAnsi="宋体"/>
          <w:szCs w:val="21"/>
        </w:rPr>
        <w:t>要求年限的，按其承诺执行），因人为因素出现的故障不在免费保修范围内。超过保修期的机器设备，终生维修，维修时只收部件成本费。</w:t>
      </w:r>
    </w:p>
    <w:p w14:paraId="116C62CB">
      <w:pPr>
        <w:snapToGrid w:val="0"/>
        <w:spacing w:line="340" w:lineRule="exact"/>
        <w:rPr>
          <w:rFonts w:ascii="宋体" w:hAnsi="宋体"/>
          <w:b/>
          <w:szCs w:val="21"/>
        </w:rPr>
      </w:pPr>
      <w:r>
        <w:rPr>
          <w:rFonts w:hint="eastAsia" w:ascii="宋体" w:hAnsi="宋体"/>
          <w:b/>
          <w:szCs w:val="21"/>
        </w:rPr>
        <w:t>11.　违约责任</w:t>
      </w:r>
    </w:p>
    <w:p w14:paraId="3E4DE259">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1.乙方所提供的产品名称、生产厂家、品牌、规格型号、技术参数等不符合响应文件承诺或质量不合格的，应在</w:t>
      </w:r>
      <w:r>
        <w:rPr>
          <w:u w:val="single"/>
        </w:rPr>
        <w:t>2</w:t>
      </w:r>
      <w:r>
        <w:rPr>
          <w:rFonts w:hint="eastAsia" w:ascii="宋体" w:hAnsi="宋体"/>
          <w:szCs w:val="21"/>
        </w:rPr>
        <w:t xml:space="preserve">日内及时更换，更换不及时的按逾期交货处罚；因质量问题甲方不同意接收的或特殊情况甲方同意接收的，乙方应向甲方支付违约货款额 </w:t>
      </w:r>
      <w:r>
        <w:rPr>
          <w:rFonts w:hint="eastAsia" w:ascii="宋体" w:hAnsi="宋体"/>
          <w:szCs w:val="21"/>
          <w:u w:val="single"/>
        </w:rPr>
        <w:t>5%</w:t>
      </w:r>
      <w:r>
        <w:rPr>
          <w:rFonts w:hint="eastAsia" w:ascii="宋体" w:hAnsi="宋体"/>
          <w:szCs w:val="21"/>
        </w:rPr>
        <w:t xml:space="preserve">违约金并赔偿甲方经济损失。                                       </w:t>
      </w:r>
    </w:p>
    <w:p w14:paraId="0AEA60A5">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2.乙方提供的货物如侵犯了第三方合法权益而引发的任何纠纷或诉讼，均由乙方负责交涉并承担全部责任。</w:t>
      </w:r>
    </w:p>
    <w:p w14:paraId="634093B2">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3.因包装、运输引起的货物损坏，按质量不合格处罚。</w:t>
      </w:r>
    </w:p>
    <w:p w14:paraId="0952E5A5">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4.甲方无故延期接收货物、乙方逾期交货的，每天向对方偿付违约货款额3‰违约金，但违约金累计不得超过违约货款额</w:t>
      </w:r>
      <w:r>
        <w:rPr>
          <w:rFonts w:hint="eastAsia" w:ascii="宋体" w:hAnsi="宋体"/>
          <w:szCs w:val="21"/>
          <w:u w:val="single"/>
        </w:rPr>
        <w:t>5%</w:t>
      </w:r>
      <w:r>
        <w:rPr>
          <w:rFonts w:hint="eastAsia" w:ascii="宋体" w:hAnsi="宋体"/>
          <w:szCs w:val="21"/>
        </w:rPr>
        <w:t>，超过</w:t>
      </w:r>
      <w:bookmarkStart w:id="0" w:name="_Hlk129182355"/>
      <w:r>
        <w:rPr>
          <w:rFonts w:hint="eastAsia"/>
          <w:u w:val="single"/>
        </w:rPr>
        <w:t>7天</w:t>
      </w:r>
      <w:bookmarkEnd w:id="0"/>
      <w:r>
        <w:rPr>
          <w:rFonts w:hint="eastAsia" w:ascii="宋体" w:hAnsi="宋体"/>
          <w:szCs w:val="21"/>
        </w:rPr>
        <w:t>对方有权解除合同，违约方承担因此给对方造成经济损失；甲方延期付货款的，每天向乙方偿付延期货款额3‰滞纳金，但滞纳金累计不得超过延期货款额5%。</w:t>
      </w:r>
    </w:p>
    <w:p w14:paraId="274BC455">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5.乙方未按本合同和响应文件中规定的服务承诺提供售后服务的，乙方应按本合同合计金额 5%向甲方支付违约金。</w:t>
      </w:r>
    </w:p>
    <w:p w14:paraId="70C72952">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6.乙方提供的货物在质量保证期内，因设计、工艺或材料的缺陷和其它质量原因造成的问题，由乙方负责，费用从履约保证金中扣除，不足另补。</w:t>
      </w:r>
    </w:p>
    <w:p w14:paraId="00602809">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7.其它违约行为按违约货款额5%收取违约金并赔偿经济损失。</w:t>
      </w:r>
    </w:p>
    <w:p w14:paraId="68D282C2">
      <w:pPr>
        <w:snapToGrid w:val="0"/>
        <w:spacing w:line="340" w:lineRule="exact"/>
        <w:rPr>
          <w:rFonts w:ascii="宋体" w:hAnsi="宋体"/>
          <w:szCs w:val="21"/>
        </w:rPr>
      </w:pPr>
      <w:r>
        <w:rPr>
          <w:rFonts w:hint="eastAsia" w:ascii="宋体" w:hAnsi="宋体"/>
          <w:szCs w:val="21"/>
          <w:lang w:val="en-US" w:eastAsia="zh-CN"/>
        </w:rPr>
        <w:t>11.</w:t>
      </w:r>
      <w:r>
        <w:rPr>
          <w:rFonts w:hint="eastAsia" w:ascii="宋体" w:hAnsi="宋体"/>
          <w:szCs w:val="21"/>
        </w:rPr>
        <w:t>8.乙方于响应文件中必须对所有产品的技术参数要求作出真实、有效的响应和承诺。所提供的产品必须为原装正品的、全新的、符合国家有关质量标准的产品。验收前，甲方现场根据采购文件要求及响应文件承诺对各项参数逐条对应进行核验，核验或检测数据不符合甲方要求及响应文件承诺的指标的，甲方有权终止合同执行并全部退货，由此造成甲方经济损失的由成交供应商负责承担全部赔偿责任并向甲方支付合同金额的30%违约赔偿金。如有异议，将交由国家认可并具有检验检测资质的第三方机构进行检验，若核验结果的各项参数指标不满足甲方要求及响应文件承诺的指标要求，所有产生的费用由成交供应商承担，并承担政府采购虚假竞标的相关法律责任。</w:t>
      </w:r>
    </w:p>
    <w:p w14:paraId="39F6160C">
      <w:pPr>
        <w:snapToGrid w:val="0"/>
        <w:spacing w:line="340" w:lineRule="exact"/>
        <w:rPr>
          <w:rFonts w:ascii="宋体" w:hAnsi="宋体"/>
          <w:b/>
          <w:szCs w:val="21"/>
        </w:rPr>
      </w:pPr>
      <w:r>
        <w:rPr>
          <w:rFonts w:hint="eastAsia" w:ascii="宋体" w:hAnsi="宋体"/>
          <w:b/>
          <w:szCs w:val="21"/>
        </w:rPr>
        <w:t>12.  不可抗力事件处理</w:t>
      </w:r>
    </w:p>
    <w:p w14:paraId="2EF70487">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1.在合同有效期内，任何一方因不可抗力事件导致不能履行合同，则合同履行期可延长，其延长期与不可抗力影响期相同。</w:t>
      </w:r>
    </w:p>
    <w:p w14:paraId="58890A30">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2.不可抗力事件发生后，应立即通知对方，并寄送有关权威机构出具的证明。</w:t>
      </w:r>
    </w:p>
    <w:p w14:paraId="5F90DBDF">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3.不可抗力事件延续120天以上，双方应通过友好协商，确定是否继续履行合同。</w:t>
      </w:r>
    </w:p>
    <w:p w14:paraId="0281F5D4">
      <w:pPr>
        <w:snapToGrid w:val="0"/>
        <w:spacing w:line="340" w:lineRule="exact"/>
        <w:rPr>
          <w:rFonts w:ascii="宋体" w:hAnsi="宋体"/>
          <w:b/>
          <w:szCs w:val="21"/>
        </w:rPr>
      </w:pPr>
      <w:r>
        <w:rPr>
          <w:rFonts w:hint="eastAsia" w:ascii="宋体" w:hAnsi="宋体"/>
          <w:b/>
          <w:szCs w:val="21"/>
        </w:rPr>
        <w:t>13 . 合同争议解决</w:t>
      </w:r>
    </w:p>
    <w:p w14:paraId="0BA9373E">
      <w:pPr>
        <w:snapToGrid w:val="0"/>
        <w:spacing w:line="340" w:lineRule="exact"/>
        <w:rPr>
          <w:rFonts w:ascii="宋体" w:hAnsi="宋体"/>
          <w:szCs w:val="21"/>
        </w:rPr>
      </w:pPr>
      <w:r>
        <w:rPr>
          <w:rFonts w:hint="eastAsia" w:ascii="宋体" w:hAnsi="宋体"/>
          <w:szCs w:val="21"/>
          <w:lang w:val="en-US" w:eastAsia="zh-CN"/>
        </w:rPr>
        <w:t>13.</w:t>
      </w:r>
      <w:r>
        <w:rPr>
          <w:rFonts w:hint="eastAsia" w:ascii="宋体" w:hAnsi="宋体"/>
          <w:szCs w:val="21"/>
        </w:rPr>
        <w:t>1.因货物质量问题发生争议的，应邀请国家认可的质量检测机构对货物质量进行鉴定。货物符合标准的，鉴定费由甲方承担；货物不符合标准的，鉴定费由乙方承担。</w:t>
      </w:r>
    </w:p>
    <w:p w14:paraId="5F5F853F">
      <w:pPr>
        <w:snapToGrid w:val="0"/>
        <w:spacing w:line="340" w:lineRule="exact"/>
        <w:rPr>
          <w:rFonts w:ascii="宋体" w:hAnsi="宋体"/>
          <w:szCs w:val="21"/>
        </w:rPr>
      </w:pPr>
      <w:r>
        <w:rPr>
          <w:rFonts w:hint="eastAsia" w:ascii="宋体" w:hAnsi="宋体"/>
          <w:szCs w:val="21"/>
          <w:lang w:val="en-US" w:eastAsia="zh-CN"/>
        </w:rPr>
        <w:t>13.</w:t>
      </w:r>
      <w:r>
        <w:rPr>
          <w:rFonts w:hint="eastAsia" w:ascii="宋体" w:hAnsi="宋体"/>
          <w:szCs w:val="21"/>
        </w:rPr>
        <w:t>2.因履行本合同引起的或与本合同有关的争议，甲乙双方应首先通过友好协商解决，如果协商不能解决，可向甲方所在地的人民法院提起诉讼。</w:t>
      </w:r>
    </w:p>
    <w:p w14:paraId="6FF035EB">
      <w:pPr>
        <w:snapToGrid w:val="0"/>
        <w:spacing w:line="340" w:lineRule="exact"/>
        <w:rPr>
          <w:rFonts w:ascii="宋体" w:hAnsi="宋体"/>
          <w:b/>
          <w:szCs w:val="21"/>
        </w:rPr>
      </w:pPr>
      <w:r>
        <w:rPr>
          <w:rFonts w:hint="eastAsia" w:ascii="宋体" w:hAnsi="宋体"/>
          <w:b/>
          <w:szCs w:val="21"/>
        </w:rPr>
        <w:t>14. 合同生效及其它</w:t>
      </w:r>
    </w:p>
    <w:p w14:paraId="27FC5F07">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1.合同经双方法定代表人（负责人/自然人）或委托代理人签字并加盖单位公章后生效（委托代理人签字的需后附法定代表人授权委托书，格式自拟）。</w:t>
      </w:r>
    </w:p>
    <w:p w14:paraId="42D27A9B">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2.合同执行中涉及采购资金和采购内容修改或补充的，须经财政部门审批，并签书面补充协议报财政部门备案，方可作为主合同不可分割的一部分。</w:t>
      </w:r>
    </w:p>
    <w:p w14:paraId="4273E90D">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3.本合同未尽事宜，遵照《</w:t>
      </w:r>
      <w:r>
        <w:rPr>
          <w:rFonts w:ascii="Arial" w:hAnsi="Arial" w:cs="Arial"/>
          <w:szCs w:val="21"/>
          <w:shd w:val="clear" w:color="auto" w:fill="FFFFFF"/>
        </w:rPr>
        <w:t>中华人民共和国民法典</w:t>
      </w:r>
      <w:r>
        <w:rPr>
          <w:rFonts w:hint="eastAsia" w:ascii="宋体" w:hAnsi="宋体"/>
          <w:szCs w:val="21"/>
        </w:rPr>
        <w:t>》有关条文执行。</w:t>
      </w:r>
    </w:p>
    <w:p w14:paraId="2E280023">
      <w:pPr>
        <w:snapToGrid w:val="0"/>
        <w:spacing w:line="340" w:lineRule="exact"/>
        <w:rPr>
          <w:rFonts w:ascii="宋体" w:hAnsi="宋体"/>
          <w:b/>
          <w:szCs w:val="21"/>
        </w:rPr>
      </w:pPr>
      <w:r>
        <w:rPr>
          <w:rFonts w:hint="eastAsia" w:ascii="宋体" w:hAnsi="宋体"/>
          <w:b/>
          <w:szCs w:val="21"/>
        </w:rPr>
        <w:t>15.　合同的变更、终止与转让</w:t>
      </w:r>
    </w:p>
    <w:p w14:paraId="4E6C5282">
      <w:pPr>
        <w:snapToGrid w:val="0"/>
        <w:spacing w:line="340" w:lineRule="exact"/>
        <w:rPr>
          <w:rFonts w:ascii="宋体" w:hAnsi="宋体"/>
          <w:szCs w:val="21"/>
        </w:rPr>
      </w:pPr>
      <w:r>
        <w:rPr>
          <w:rFonts w:hint="eastAsia" w:ascii="宋体" w:hAnsi="宋体"/>
          <w:szCs w:val="21"/>
          <w:lang w:val="en-US" w:eastAsia="zh-CN"/>
        </w:rPr>
        <w:t>15.</w:t>
      </w:r>
      <w:r>
        <w:rPr>
          <w:rFonts w:hint="eastAsia" w:ascii="宋体" w:hAnsi="宋体"/>
          <w:szCs w:val="21"/>
        </w:rPr>
        <w:t>1.除《中华人民共和国政府采购法》第五十条规定的情形外，本合同一经签订，甲乙双方不得擅自变更、中止或终止合同。</w:t>
      </w:r>
    </w:p>
    <w:p w14:paraId="1F85EDF5">
      <w:pPr>
        <w:snapToGrid w:val="0"/>
        <w:spacing w:line="340" w:lineRule="exact"/>
        <w:rPr>
          <w:rFonts w:ascii="宋体" w:hAnsi="宋体"/>
          <w:szCs w:val="21"/>
        </w:rPr>
      </w:pPr>
      <w:r>
        <w:rPr>
          <w:rFonts w:hint="eastAsia" w:ascii="宋体" w:hAnsi="宋体"/>
          <w:szCs w:val="21"/>
          <w:lang w:val="en-US" w:eastAsia="zh-CN"/>
        </w:rPr>
        <w:t>15.</w:t>
      </w:r>
      <w:r>
        <w:rPr>
          <w:rFonts w:hint="eastAsia" w:ascii="宋体" w:hAnsi="宋体"/>
          <w:szCs w:val="21"/>
        </w:rPr>
        <w:t>2.乙方不得擅自转让其应履行的合同义务。</w:t>
      </w:r>
    </w:p>
    <w:p w14:paraId="6B2B0338">
      <w:pPr>
        <w:snapToGrid w:val="0"/>
        <w:spacing w:line="340" w:lineRule="exact"/>
        <w:rPr>
          <w:rFonts w:ascii="宋体" w:hAnsi="宋体"/>
          <w:b/>
          <w:szCs w:val="21"/>
        </w:rPr>
      </w:pPr>
      <w:r>
        <w:rPr>
          <w:rFonts w:hint="eastAsia" w:ascii="宋体" w:hAnsi="宋体"/>
          <w:b/>
          <w:szCs w:val="21"/>
        </w:rPr>
        <w:t>16.　签订本合同依据</w:t>
      </w:r>
    </w:p>
    <w:p w14:paraId="285DB5D2">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1</w:t>
      </w:r>
      <w:r>
        <w:rPr>
          <w:rFonts w:ascii="宋体" w:hAnsi="宋体"/>
          <w:szCs w:val="21"/>
        </w:rPr>
        <w:t>.乙方提供的</w:t>
      </w:r>
      <w:r>
        <w:rPr>
          <w:rFonts w:hint="eastAsia" w:ascii="宋体" w:hAnsi="宋体"/>
          <w:szCs w:val="21"/>
        </w:rPr>
        <w:t>响应文件、应答文件</w:t>
      </w:r>
      <w:r>
        <w:rPr>
          <w:rFonts w:ascii="宋体" w:hAnsi="宋体"/>
          <w:szCs w:val="21"/>
        </w:rPr>
        <w:t>；</w:t>
      </w:r>
    </w:p>
    <w:p w14:paraId="21CBFD44">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2.采购文件及更正公告（澄清或补充通知）；</w:t>
      </w:r>
    </w:p>
    <w:p w14:paraId="4D1915EF">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3.标准、规范及有关技术文件；</w:t>
      </w:r>
    </w:p>
    <w:p w14:paraId="1A9DA95A">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4.双方约定的其他合同文件。</w:t>
      </w:r>
    </w:p>
    <w:p w14:paraId="5FC0F04B">
      <w:pPr>
        <w:snapToGrid w:val="0"/>
        <w:spacing w:line="340" w:lineRule="exact"/>
        <w:rPr>
          <w:rFonts w:ascii="宋体" w:hAnsi="宋体"/>
          <w:szCs w:val="21"/>
        </w:rPr>
      </w:pPr>
      <w:r>
        <w:rPr>
          <w:rFonts w:hint="eastAsia" w:ascii="宋体" w:hAnsi="宋体"/>
          <w:b/>
          <w:szCs w:val="21"/>
        </w:rPr>
        <w:t>17.　</w:t>
      </w:r>
      <w:r>
        <w:rPr>
          <w:rFonts w:hint="eastAsia" w:ascii="宋体" w:hAnsi="宋体"/>
          <w:szCs w:val="21"/>
        </w:rPr>
        <w:t>本合同一式三份，具有同等法律效力，甲方执两份，乙方执一份（可根据需要另增加）。</w:t>
      </w:r>
    </w:p>
    <w:p w14:paraId="0DB6270A">
      <w:pPr>
        <w:snapToGrid w:val="0"/>
        <w:spacing w:line="340" w:lineRule="exact"/>
        <w:rPr>
          <w:rFonts w:ascii="宋体" w:hAnsi="宋体"/>
          <w:szCs w:val="21"/>
        </w:rPr>
      </w:pPr>
      <w:r>
        <w:rPr>
          <w:rFonts w:hint="eastAsia" w:ascii="宋体" w:hAnsi="宋体"/>
          <w:szCs w:val="21"/>
        </w:rPr>
        <w:t>本合同甲乙双方签字并盖章后生效。</w:t>
      </w:r>
    </w:p>
    <w:p w14:paraId="4867598A">
      <w:pPr>
        <w:snapToGrid w:val="0"/>
        <w:spacing w:line="340" w:lineRule="exact"/>
        <w:rPr>
          <w:rFonts w:ascii="宋体" w:hAnsi="宋体"/>
          <w:szCs w:val="21"/>
        </w:rPr>
      </w:pPr>
    </w:p>
    <w:tbl>
      <w:tblPr>
        <w:tblStyle w:val="8"/>
        <w:tblW w:w="9033"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14:paraId="7873E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4516" w:type="dxa"/>
            <w:vAlign w:val="center"/>
          </w:tcPr>
          <w:p w14:paraId="3F389D87">
            <w:pPr>
              <w:snapToGrid w:val="0"/>
              <w:spacing w:line="360" w:lineRule="exact"/>
              <w:rPr>
                <w:rFonts w:ascii="宋体" w:hAnsi="宋体"/>
                <w:szCs w:val="21"/>
              </w:rPr>
            </w:pPr>
            <w:r>
              <w:rPr>
                <w:rFonts w:hint="eastAsia" w:ascii="宋体" w:hAnsi="宋体"/>
                <w:szCs w:val="21"/>
              </w:rPr>
              <w:t xml:space="preserve">甲方（章）           </w:t>
            </w:r>
          </w:p>
          <w:p w14:paraId="4F8C2326">
            <w:pPr>
              <w:snapToGrid w:val="0"/>
              <w:spacing w:line="360" w:lineRule="exact"/>
              <w:rPr>
                <w:rFonts w:ascii="宋体" w:hAnsi="宋体"/>
                <w:szCs w:val="21"/>
              </w:rPr>
            </w:pPr>
          </w:p>
          <w:p w14:paraId="592571FB">
            <w:pPr>
              <w:snapToGrid w:val="0"/>
              <w:spacing w:line="360" w:lineRule="exact"/>
              <w:ind w:firstLine="630" w:firstLineChars="300"/>
              <w:rPr>
                <w:rFonts w:ascii="宋体" w:hAnsi="宋体"/>
                <w:szCs w:val="21"/>
              </w:rPr>
            </w:pPr>
            <w:r>
              <w:rPr>
                <w:rFonts w:hint="eastAsia" w:ascii="宋体" w:hAnsi="宋体"/>
                <w:szCs w:val="21"/>
              </w:rPr>
              <w:t>年   月   日</w:t>
            </w:r>
          </w:p>
        </w:tc>
        <w:tc>
          <w:tcPr>
            <w:tcW w:w="4517" w:type="dxa"/>
            <w:vAlign w:val="center"/>
          </w:tcPr>
          <w:p w14:paraId="7C272D43">
            <w:pPr>
              <w:snapToGrid w:val="0"/>
              <w:spacing w:line="360" w:lineRule="exact"/>
              <w:rPr>
                <w:rFonts w:ascii="宋体" w:hAnsi="宋体"/>
                <w:szCs w:val="21"/>
              </w:rPr>
            </w:pPr>
            <w:r>
              <w:rPr>
                <w:rFonts w:hint="eastAsia" w:ascii="宋体" w:hAnsi="宋体"/>
                <w:szCs w:val="21"/>
              </w:rPr>
              <w:t xml:space="preserve">乙方（章）              </w:t>
            </w:r>
          </w:p>
          <w:p w14:paraId="4080345E">
            <w:pPr>
              <w:snapToGrid w:val="0"/>
              <w:spacing w:line="360" w:lineRule="exact"/>
              <w:rPr>
                <w:rFonts w:ascii="宋体" w:hAnsi="宋体"/>
                <w:szCs w:val="21"/>
              </w:rPr>
            </w:pPr>
          </w:p>
          <w:p w14:paraId="6446CE7D">
            <w:pPr>
              <w:snapToGrid w:val="0"/>
              <w:spacing w:line="360" w:lineRule="exact"/>
              <w:rPr>
                <w:rFonts w:ascii="宋体" w:hAnsi="宋体"/>
                <w:szCs w:val="21"/>
              </w:rPr>
            </w:pPr>
            <w:r>
              <w:rPr>
                <w:rFonts w:hint="eastAsia" w:ascii="宋体" w:hAnsi="宋体"/>
                <w:szCs w:val="21"/>
              </w:rPr>
              <w:t xml:space="preserve">       年   月   日</w:t>
            </w:r>
          </w:p>
        </w:tc>
      </w:tr>
      <w:tr w14:paraId="59062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516" w:type="dxa"/>
            <w:vAlign w:val="center"/>
          </w:tcPr>
          <w:p w14:paraId="6490FACC">
            <w:pPr>
              <w:snapToGrid w:val="0"/>
              <w:spacing w:line="360" w:lineRule="exact"/>
              <w:rPr>
                <w:rFonts w:ascii="宋体" w:hAnsi="宋体"/>
                <w:szCs w:val="21"/>
              </w:rPr>
            </w:pPr>
            <w:r>
              <w:rPr>
                <w:rFonts w:hint="eastAsia" w:ascii="宋体" w:hAnsi="宋体"/>
                <w:szCs w:val="21"/>
              </w:rPr>
              <w:t>单位地址：桂林市</w:t>
            </w:r>
            <w:r>
              <w:rPr>
                <w:rFonts w:hint="eastAsia" w:ascii="宋体" w:hAnsi="宋体"/>
                <w:szCs w:val="21"/>
                <w:lang w:eastAsia="zh-CN"/>
              </w:rPr>
              <w:t>金鸡路</w:t>
            </w:r>
            <w:r>
              <w:rPr>
                <w:rFonts w:hint="eastAsia" w:ascii="宋体" w:hAnsi="宋体"/>
                <w:szCs w:val="21"/>
                <w:lang w:val="en-US" w:eastAsia="zh-CN"/>
              </w:rPr>
              <w:t>1</w:t>
            </w:r>
            <w:r>
              <w:rPr>
                <w:rFonts w:hint="eastAsia" w:ascii="宋体" w:hAnsi="宋体"/>
                <w:szCs w:val="21"/>
              </w:rPr>
              <w:t>号</w:t>
            </w:r>
          </w:p>
        </w:tc>
        <w:tc>
          <w:tcPr>
            <w:tcW w:w="4517" w:type="dxa"/>
            <w:vAlign w:val="center"/>
          </w:tcPr>
          <w:p w14:paraId="53D0EA95">
            <w:pPr>
              <w:snapToGrid w:val="0"/>
              <w:spacing w:line="360" w:lineRule="exact"/>
              <w:rPr>
                <w:rFonts w:ascii="宋体" w:hAnsi="宋体"/>
                <w:szCs w:val="21"/>
              </w:rPr>
            </w:pPr>
            <w:r>
              <w:rPr>
                <w:rFonts w:hint="eastAsia" w:ascii="宋体" w:hAnsi="宋体"/>
                <w:szCs w:val="21"/>
              </w:rPr>
              <w:t>单位地址：</w:t>
            </w:r>
          </w:p>
        </w:tc>
      </w:tr>
      <w:tr w14:paraId="6A63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16" w:type="dxa"/>
            <w:vAlign w:val="center"/>
          </w:tcPr>
          <w:p w14:paraId="0A1CDAEE">
            <w:pPr>
              <w:snapToGrid w:val="0"/>
              <w:spacing w:line="360" w:lineRule="exact"/>
              <w:rPr>
                <w:rFonts w:ascii="宋体" w:hAnsi="宋体"/>
                <w:szCs w:val="21"/>
              </w:rPr>
            </w:pPr>
            <w:r>
              <w:rPr>
                <w:rFonts w:hint="eastAsia" w:ascii="宋体" w:hAnsi="宋体"/>
                <w:szCs w:val="21"/>
              </w:rPr>
              <w:t>法定代表人：</w:t>
            </w:r>
          </w:p>
        </w:tc>
        <w:tc>
          <w:tcPr>
            <w:tcW w:w="4517" w:type="dxa"/>
            <w:vAlign w:val="center"/>
          </w:tcPr>
          <w:p w14:paraId="2B5B9F95">
            <w:pPr>
              <w:snapToGrid w:val="0"/>
              <w:spacing w:line="360" w:lineRule="exact"/>
              <w:rPr>
                <w:rFonts w:ascii="宋体" w:hAnsi="宋体"/>
                <w:szCs w:val="21"/>
              </w:rPr>
            </w:pPr>
            <w:r>
              <w:rPr>
                <w:rFonts w:hint="eastAsia" w:ascii="宋体" w:hAnsi="宋体"/>
                <w:szCs w:val="21"/>
              </w:rPr>
              <w:t>法定代表人：</w:t>
            </w:r>
          </w:p>
        </w:tc>
      </w:tr>
      <w:tr w14:paraId="4CFE8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16" w:type="dxa"/>
            <w:vAlign w:val="center"/>
          </w:tcPr>
          <w:p w14:paraId="68C6D68B">
            <w:pPr>
              <w:snapToGrid w:val="0"/>
              <w:spacing w:line="360" w:lineRule="exact"/>
              <w:rPr>
                <w:rFonts w:ascii="宋体" w:hAnsi="宋体"/>
                <w:szCs w:val="21"/>
              </w:rPr>
            </w:pPr>
            <w:r>
              <w:rPr>
                <w:rFonts w:hint="eastAsia" w:ascii="宋体" w:hAnsi="宋体"/>
                <w:szCs w:val="21"/>
              </w:rPr>
              <w:t>委托代理人：</w:t>
            </w:r>
          </w:p>
        </w:tc>
        <w:tc>
          <w:tcPr>
            <w:tcW w:w="4517" w:type="dxa"/>
            <w:vAlign w:val="center"/>
          </w:tcPr>
          <w:p w14:paraId="3C1DF6DB">
            <w:pPr>
              <w:snapToGrid w:val="0"/>
              <w:spacing w:line="360" w:lineRule="exact"/>
              <w:rPr>
                <w:rFonts w:ascii="宋体" w:hAnsi="宋体"/>
                <w:szCs w:val="21"/>
              </w:rPr>
            </w:pPr>
            <w:r>
              <w:rPr>
                <w:rFonts w:hint="eastAsia" w:ascii="宋体" w:hAnsi="宋体"/>
                <w:szCs w:val="21"/>
              </w:rPr>
              <w:t>委托代理人：</w:t>
            </w:r>
          </w:p>
        </w:tc>
      </w:tr>
      <w:tr w14:paraId="3B81C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4516" w:type="dxa"/>
            <w:vAlign w:val="center"/>
          </w:tcPr>
          <w:p w14:paraId="230A0D3F">
            <w:pPr>
              <w:snapToGrid w:val="0"/>
              <w:spacing w:line="360" w:lineRule="exact"/>
              <w:rPr>
                <w:rFonts w:ascii="宋体" w:hAnsi="宋体"/>
                <w:szCs w:val="21"/>
              </w:rPr>
            </w:pPr>
            <w:r>
              <w:rPr>
                <w:rFonts w:hint="eastAsia" w:ascii="宋体" w:hAnsi="宋体"/>
                <w:szCs w:val="21"/>
              </w:rPr>
              <w:t>电话：</w:t>
            </w:r>
          </w:p>
        </w:tc>
        <w:tc>
          <w:tcPr>
            <w:tcW w:w="4517" w:type="dxa"/>
            <w:vAlign w:val="center"/>
          </w:tcPr>
          <w:p w14:paraId="4BB97728">
            <w:pPr>
              <w:snapToGrid w:val="0"/>
              <w:spacing w:line="360" w:lineRule="exact"/>
              <w:rPr>
                <w:rFonts w:ascii="宋体" w:hAnsi="宋体"/>
                <w:szCs w:val="21"/>
              </w:rPr>
            </w:pPr>
            <w:r>
              <w:rPr>
                <w:rFonts w:hint="eastAsia" w:ascii="宋体" w:hAnsi="宋体"/>
                <w:szCs w:val="21"/>
              </w:rPr>
              <w:t>电话：</w:t>
            </w:r>
          </w:p>
        </w:tc>
      </w:tr>
      <w:tr w14:paraId="5589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4516" w:type="dxa"/>
            <w:vAlign w:val="center"/>
          </w:tcPr>
          <w:p w14:paraId="463A228E">
            <w:pPr>
              <w:snapToGrid w:val="0"/>
              <w:spacing w:line="360" w:lineRule="exact"/>
              <w:rPr>
                <w:rFonts w:ascii="宋体" w:hAnsi="宋体"/>
                <w:szCs w:val="21"/>
              </w:rPr>
            </w:pPr>
            <w:r>
              <w:rPr>
                <w:rFonts w:hint="eastAsia" w:ascii="宋体" w:hAnsi="宋体"/>
                <w:szCs w:val="21"/>
              </w:rPr>
              <w:t>电子邮箱：</w:t>
            </w:r>
          </w:p>
        </w:tc>
        <w:tc>
          <w:tcPr>
            <w:tcW w:w="4517" w:type="dxa"/>
            <w:vAlign w:val="center"/>
          </w:tcPr>
          <w:p w14:paraId="5A965180">
            <w:pPr>
              <w:snapToGrid w:val="0"/>
              <w:spacing w:line="360" w:lineRule="exact"/>
              <w:rPr>
                <w:rFonts w:ascii="宋体" w:hAnsi="宋体"/>
                <w:szCs w:val="21"/>
              </w:rPr>
            </w:pPr>
            <w:r>
              <w:rPr>
                <w:rFonts w:hint="eastAsia" w:ascii="宋体" w:hAnsi="宋体"/>
                <w:szCs w:val="21"/>
              </w:rPr>
              <w:t>电子邮箱：</w:t>
            </w:r>
          </w:p>
        </w:tc>
      </w:tr>
      <w:tr w14:paraId="70DEB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4516" w:type="dxa"/>
            <w:vAlign w:val="center"/>
          </w:tcPr>
          <w:p w14:paraId="14CFD568">
            <w:pPr>
              <w:snapToGrid w:val="0"/>
              <w:spacing w:line="360" w:lineRule="exact"/>
              <w:rPr>
                <w:rFonts w:hint="eastAsia" w:ascii="宋体" w:hAnsi="宋体" w:eastAsia="宋体"/>
                <w:szCs w:val="21"/>
                <w:lang w:eastAsia="zh-CN"/>
              </w:rPr>
            </w:pPr>
            <w:r>
              <w:rPr>
                <w:rFonts w:hint="eastAsia" w:ascii="宋体" w:hAnsi="宋体"/>
                <w:szCs w:val="21"/>
              </w:rPr>
              <w:t>开户银行：</w:t>
            </w:r>
            <w:r>
              <w:rPr>
                <w:rFonts w:hint="eastAsia" w:ascii="宋体" w:hAnsi="宋体"/>
                <w:szCs w:val="21"/>
                <w:lang w:eastAsia="zh-CN"/>
              </w:rPr>
              <w:t>工商银行桂林市屏风支行</w:t>
            </w:r>
          </w:p>
        </w:tc>
        <w:tc>
          <w:tcPr>
            <w:tcW w:w="4517" w:type="dxa"/>
            <w:vAlign w:val="center"/>
          </w:tcPr>
          <w:p w14:paraId="62159257">
            <w:pPr>
              <w:snapToGrid w:val="0"/>
              <w:spacing w:line="360" w:lineRule="exact"/>
              <w:rPr>
                <w:rFonts w:ascii="宋体" w:hAnsi="宋体"/>
                <w:szCs w:val="21"/>
              </w:rPr>
            </w:pPr>
            <w:r>
              <w:rPr>
                <w:rFonts w:hint="eastAsia" w:ascii="宋体" w:hAnsi="宋体"/>
                <w:szCs w:val="21"/>
              </w:rPr>
              <w:t>开户银行：</w:t>
            </w:r>
          </w:p>
        </w:tc>
      </w:tr>
      <w:tr w14:paraId="32B03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516" w:type="dxa"/>
            <w:vAlign w:val="center"/>
          </w:tcPr>
          <w:p w14:paraId="7D202576">
            <w:pPr>
              <w:snapToGrid w:val="0"/>
              <w:spacing w:line="360" w:lineRule="exact"/>
              <w:rPr>
                <w:rFonts w:ascii="宋体" w:hAnsi="宋体"/>
                <w:szCs w:val="21"/>
              </w:rPr>
            </w:pPr>
            <w:r>
              <w:rPr>
                <w:rFonts w:hint="eastAsia" w:ascii="宋体" w:hAnsi="宋体"/>
                <w:szCs w:val="21"/>
              </w:rPr>
              <w:t>账号：</w:t>
            </w:r>
            <w:r>
              <w:rPr>
                <w:rFonts w:hint="eastAsia" w:ascii="宋体" w:hAnsi="宋体"/>
                <w:color w:val="auto"/>
                <w:kern w:val="0"/>
                <w:szCs w:val="21"/>
                <w:u w:val="none"/>
              </w:rPr>
              <w:t>2103 2152 0924 9017 694</w:t>
            </w:r>
          </w:p>
        </w:tc>
        <w:tc>
          <w:tcPr>
            <w:tcW w:w="4517" w:type="dxa"/>
            <w:vAlign w:val="center"/>
          </w:tcPr>
          <w:p w14:paraId="58C3CD9D">
            <w:pPr>
              <w:snapToGrid w:val="0"/>
              <w:spacing w:line="360" w:lineRule="exact"/>
              <w:rPr>
                <w:rFonts w:ascii="宋体" w:hAnsi="宋体"/>
                <w:szCs w:val="21"/>
              </w:rPr>
            </w:pPr>
            <w:r>
              <w:rPr>
                <w:rFonts w:hint="eastAsia" w:ascii="宋体" w:hAnsi="宋体"/>
                <w:szCs w:val="21"/>
              </w:rPr>
              <w:t>账号：</w:t>
            </w:r>
          </w:p>
        </w:tc>
      </w:tr>
      <w:tr w14:paraId="45C11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4516" w:type="dxa"/>
            <w:vAlign w:val="center"/>
          </w:tcPr>
          <w:p w14:paraId="5AA7803E">
            <w:pPr>
              <w:snapToGrid w:val="0"/>
              <w:spacing w:line="360" w:lineRule="exact"/>
              <w:rPr>
                <w:rFonts w:ascii="宋体" w:hAnsi="宋体"/>
                <w:szCs w:val="21"/>
              </w:rPr>
            </w:pPr>
            <w:r>
              <w:rPr>
                <w:rFonts w:hint="eastAsia" w:ascii="宋体" w:hAnsi="宋体"/>
                <w:szCs w:val="21"/>
              </w:rPr>
              <w:t>邮政编码：541004</w:t>
            </w:r>
          </w:p>
        </w:tc>
        <w:tc>
          <w:tcPr>
            <w:tcW w:w="4517" w:type="dxa"/>
            <w:vAlign w:val="center"/>
          </w:tcPr>
          <w:p w14:paraId="028E4386">
            <w:pPr>
              <w:snapToGrid w:val="0"/>
              <w:spacing w:line="360" w:lineRule="exact"/>
              <w:rPr>
                <w:rFonts w:ascii="宋体" w:hAnsi="宋体"/>
                <w:szCs w:val="21"/>
              </w:rPr>
            </w:pPr>
            <w:r>
              <w:rPr>
                <w:rFonts w:hint="eastAsia" w:ascii="宋体" w:hAnsi="宋体"/>
                <w:szCs w:val="21"/>
              </w:rPr>
              <w:t>邮政编码：</w:t>
            </w:r>
          </w:p>
        </w:tc>
      </w:tr>
    </w:tbl>
    <w:p w14:paraId="362A9936">
      <w:pPr>
        <w:snapToGrid w:val="0"/>
        <w:spacing w:line="360" w:lineRule="exact"/>
        <w:jc w:val="center"/>
        <w:rPr>
          <w:rFonts w:ascii="仿宋_GB2312" w:eastAsia="仿宋_GB2312"/>
          <w:b/>
          <w:sz w:val="28"/>
          <w:szCs w:val="28"/>
        </w:rPr>
      </w:pPr>
    </w:p>
    <w:p w14:paraId="3221F24A">
      <w:pPr>
        <w:snapToGrid w:val="0"/>
        <w:spacing w:line="360" w:lineRule="exact"/>
        <w:jc w:val="center"/>
        <w:rPr>
          <w:rFonts w:ascii="仿宋_GB2312" w:eastAsia="仿宋_GB2312"/>
          <w:b/>
          <w:sz w:val="28"/>
          <w:szCs w:val="28"/>
        </w:rPr>
      </w:pPr>
    </w:p>
    <w:p w14:paraId="0F6578BA">
      <w:pPr>
        <w:snapToGrid w:val="0"/>
        <w:spacing w:line="360" w:lineRule="exact"/>
        <w:jc w:val="center"/>
        <w:rPr>
          <w:rFonts w:ascii="仿宋_GB2312" w:eastAsia="仿宋_GB2312"/>
          <w:b/>
          <w:sz w:val="28"/>
          <w:szCs w:val="28"/>
        </w:rPr>
      </w:pPr>
    </w:p>
    <w:p w14:paraId="60D90646">
      <w:pPr>
        <w:snapToGrid w:val="0"/>
        <w:spacing w:line="360" w:lineRule="exact"/>
        <w:jc w:val="center"/>
        <w:rPr>
          <w:rFonts w:ascii="仿宋_GB2312" w:eastAsia="仿宋_GB2312"/>
          <w:b/>
          <w:sz w:val="28"/>
          <w:szCs w:val="28"/>
        </w:rPr>
      </w:pPr>
    </w:p>
    <w:p w14:paraId="48CC4815">
      <w:pPr>
        <w:snapToGrid w:val="0"/>
        <w:spacing w:line="360" w:lineRule="exact"/>
        <w:jc w:val="center"/>
        <w:rPr>
          <w:rFonts w:ascii="仿宋_GB2312" w:eastAsia="仿宋_GB2312"/>
          <w:b/>
          <w:sz w:val="28"/>
          <w:szCs w:val="28"/>
        </w:rPr>
      </w:pPr>
    </w:p>
    <w:p w14:paraId="6EA14324">
      <w:pPr>
        <w:spacing w:line="360" w:lineRule="exact"/>
      </w:pPr>
    </w:p>
    <w:sectPr>
      <w:footerReference r:id="rId3" w:type="default"/>
      <w:pgSz w:w="11906" w:h="16838"/>
      <w:pgMar w:top="1361" w:right="1361" w:bottom="1361"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3265829"/>
      <w:docPartObj>
        <w:docPartGallery w:val="autotext"/>
      </w:docPartObj>
    </w:sdtPr>
    <w:sdtContent>
      <w:p w14:paraId="01834894">
        <w:pPr>
          <w:pStyle w:val="6"/>
          <w:jc w:val="center"/>
        </w:pPr>
        <w:r>
          <w:fldChar w:fldCharType="begin"/>
        </w:r>
        <w:r>
          <w:instrText xml:space="preserve">PAGE   \* MERGEFORMAT</w:instrText>
        </w:r>
        <w:r>
          <w:fldChar w:fldCharType="separate"/>
        </w:r>
        <w:r>
          <w:rPr>
            <w:lang w:val="zh-CN"/>
          </w:rPr>
          <w:t>4</w:t>
        </w:r>
        <w:r>
          <w:fldChar w:fldCharType="end"/>
        </w:r>
      </w:p>
    </w:sdtContent>
  </w:sdt>
  <w:p w14:paraId="42221E69">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UyMTQ0N2ZkZmM1ZTkzODM1MWQ0NmRkYjA4ZjA3YjEifQ=="/>
  </w:docVars>
  <w:rsids>
    <w:rsidRoot w:val="002E04E7"/>
    <w:rsid w:val="00010504"/>
    <w:rsid w:val="00011B1B"/>
    <w:rsid w:val="00031E6A"/>
    <w:rsid w:val="00053BFA"/>
    <w:rsid w:val="000573C2"/>
    <w:rsid w:val="00063633"/>
    <w:rsid w:val="00082F79"/>
    <w:rsid w:val="00091F02"/>
    <w:rsid w:val="00092390"/>
    <w:rsid w:val="000A3BDB"/>
    <w:rsid w:val="000A3F8B"/>
    <w:rsid w:val="000A5E6A"/>
    <w:rsid w:val="000B7A6C"/>
    <w:rsid w:val="000D07CF"/>
    <w:rsid w:val="000D66B1"/>
    <w:rsid w:val="001012DD"/>
    <w:rsid w:val="00102B4E"/>
    <w:rsid w:val="00104BF1"/>
    <w:rsid w:val="00111190"/>
    <w:rsid w:val="00123344"/>
    <w:rsid w:val="001306F8"/>
    <w:rsid w:val="00157AB7"/>
    <w:rsid w:val="00163148"/>
    <w:rsid w:val="00167568"/>
    <w:rsid w:val="00182DEC"/>
    <w:rsid w:val="00186D4C"/>
    <w:rsid w:val="0019305C"/>
    <w:rsid w:val="001954EB"/>
    <w:rsid w:val="001C2D78"/>
    <w:rsid w:val="001E6086"/>
    <w:rsid w:val="001E78FD"/>
    <w:rsid w:val="001F2869"/>
    <w:rsid w:val="001F492E"/>
    <w:rsid w:val="00210879"/>
    <w:rsid w:val="002174B4"/>
    <w:rsid w:val="00261CC1"/>
    <w:rsid w:val="0029399E"/>
    <w:rsid w:val="00294477"/>
    <w:rsid w:val="00295565"/>
    <w:rsid w:val="002A4727"/>
    <w:rsid w:val="002B4F02"/>
    <w:rsid w:val="002C6C46"/>
    <w:rsid w:val="002E04E7"/>
    <w:rsid w:val="002F4798"/>
    <w:rsid w:val="0031400E"/>
    <w:rsid w:val="00330B99"/>
    <w:rsid w:val="00336C73"/>
    <w:rsid w:val="0034164F"/>
    <w:rsid w:val="00342EAC"/>
    <w:rsid w:val="003502AF"/>
    <w:rsid w:val="003527C4"/>
    <w:rsid w:val="00363AD7"/>
    <w:rsid w:val="00387BD5"/>
    <w:rsid w:val="0039296B"/>
    <w:rsid w:val="003C3070"/>
    <w:rsid w:val="003C61A3"/>
    <w:rsid w:val="003C7DC4"/>
    <w:rsid w:val="003D45A1"/>
    <w:rsid w:val="003E4EFA"/>
    <w:rsid w:val="003F317A"/>
    <w:rsid w:val="003F3708"/>
    <w:rsid w:val="003F7A6D"/>
    <w:rsid w:val="00413AB8"/>
    <w:rsid w:val="00415BCD"/>
    <w:rsid w:val="0048799D"/>
    <w:rsid w:val="00491FED"/>
    <w:rsid w:val="00497E97"/>
    <w:rsid w:val="004C7029"/>
    <w:rsid w:val="004C73F7"/>
    <w:rsid w:val="004D1B65"/>
    <w:rsid w:val="004E0CE6"/>
    <w:rsid w:val="004F6748"/>
    <w:rsid w:val="005003A0"/>
    <w:rsid w:val="00504B92"/>
    <w:rsid w:val="00516130"/>
    <w:rsid w:val="00526A10"/>
    <w:rsid w:val="00534423"/>
    <w:rsid w:val="00534B33"/>
    <w:rsid w:val="00545844"/>
    <w:rsid w:val="005536B5"/>
    <w:rsid w:val="00555861"/>
    <w:rsid w:val="0056018F"/>
    <w:rsid w:val="005677FD"/>
    <w:rsid w:val="00575A8E"/>
    <w:rsid w:val="00580DBE"/>
    <w:rsid w:val="005A5ED9"/>
    <w:rsid w:val="005B4067"/>
    <w:rsid w:val="005C4A77"/>
    <w:rsid w:val="005C5E8E"/>
    <w:rsid w:val="005D53A2"/>
    <w:rsid w:val="005D7C57"/>
    <w:rsid w:val="005E5A81"/>
    <w:rsid w:val="00611757"/>
    <w:rsid w:val="006159A3"/>
    <w:rsid w:val="006506DB"/>
    <w:rsid w:val="00655FB3"/>
    <w:rsid w:val="00662044"/>
    <w:rsid w:val="006709EA"/>
    <w:rsid w:val="00672D7B"/>
    <w:rsid w:val="00676600"/>
    <w:rsid w:val="00681FD2"/>
    <w:rsid w:val="006C598D"/>
    <w:rsid w:val="006D0BEE"/>
    <w:rsid w:val="006D57B7"/>
    <w:rsid w:val="006F555A"/>
    <w:rsid w:val="006F5B28"/>
    <w:rsid w:val="007009A3"/>
    <w:rsid w:val="00700F3E"/>
    <w:rsid w:val="007142C0"/>
    <w:rsid w:val="0072047E"/>
    <w:rsid w:val="00743761"/>
    <w:rsid w:val="00763723"/>
    <w:rsid w:val="00763EBF"/>
    <w:rsid w:val="00765261"/>
    <w:rsid w:val="00773412"/>
    <w:rsid w:val="007B49E0"/>
    <w:rsid w:val="007C3D58"/>
    <w:rsid w:val="007C64F7"/>
    <w:rsid w:val="007D252A"/>
    <w:rsid w:val="007F454B"/>
    <w:rsid w:val="008009F9"/>
    <w:rsid w:val="0081361D"/>
    <w:rsid w:val="00816F0C"/>
    <w:rsid w:val="008321B2"/>
    <w:rsid w:val="008520A5"/>
    <w:rsid w:val="008529FC"/>
    <w:rsid w:val="008565D0"/>
    <w:rsid w:val="008604CC"/>
    <w:rsid w:val="00867249"/>
    <w:rsid w:val="00881001"/>
    <w:rsid w:val="0089511D"/>
    <w:rsid w:val="008A696A"/>
    <w:rsid w:val="008A7930"/>
    <w:rsid w:val="008C4DD8"/>
    <w:rsid w:val="008D75DD"/>
    <w:rsid w:val="008E4011"/>
    <w:rsid w:val="00916E2B"/>
    <w:rsid w:val="009241E9"/>
    <w:rsid w:val="00924FAF"/>
    <w:rsid w:val="00933240"/>
    <w:rsid w:val="00943C35"/>
    <w:rsid w:val="00944169"/>
    <w:rsid w:val="00953883"/>
    <w:rsid w:val="009579AA"/>
    <w:rsid w:val="009759DA"/>
    <w:rsid w:val="00980398"/>
    <w:rsid w:val="0098040C"/>
    <w:rsid w:val="00980E48"/>
    <w:rsid w:val="009864A2"/>
    <w:rsid w:val="00993CAA"/>
    <w:rsid w:val="00996A8B"/>
    <w:rsid w:val="009A29B3"/>
    <w:rsid w:val="009B65D8"/>
    <w:rsid w:val="009B66F3"/>
    <w:rsid w:val="009C1345"/>
    <w:rsid w:val="009C328C"/>
    <w:rsid w:val="009D4CCE"/>
    <w:rsid w:val="009E3506"/>
    <w:rsid w:val="009F3264"/>
    <w:rsid w:val="009F3540"/>
    <w:rsid w:val="009F61EF"/>
    <w:rsid w:val="009F70E9"/>
    <w:rsid w:val="00A0113B"/>
    <w:rsid w:val="00A13823"/>
    <w:rsid w:val="00A138C0"/>
    <w:rsid w:val="00A16152"/>
    <w:rsid w:val="00A22907"/>
    <w:rsid w:val="00A270A6"/>
    <w:rsid w:val="00A658A0"/>
    <w:rsid w:val="00A8069D"/>
    <w:rsid w:val="00A82B64"/>
    <w:rsid w:val="00A94A00"/>
    <w:rsid w:val="00A952BD"/>
    <w:rsid w:val="00AA5D95"/>
    <w:rsid w:val="00AE095F"/>
    <w:rsid w:val="00AE7CBB"/>
    <w:rsid w:val="00AF1A4E"/>
    <w:rsid w:val="00B12EDC"/>
    <w:rsid w:val="00B21336"/>
    <w:rsid w:val="00B33B8E"/>
    <w:rsid w:val="00B41510"/>
    <w:rsid w:val="00B50EEA"/>
    <w:rsid w:val="00B62944"/>
    <w:rsid w:val="00B712A0"/>
    <w:rsid w:val="00B87F13"/>
    <w:rsid w:val="00BB4D80"/>
    <w:rsid w:val="00BD0B88"/>
    <w:rsid w:val="00BD7FFD"/>
    <w:rsid w:val="00BE0214"/>
    <w:rsid w:val="00BE62CC"/>
    <w:rsid w:val="00C00677"/>
    <w:rsid w:val="00C103FF"/>
    <w:rsid w:val="00C41333"/>
    <w:rsid w:val="00C51BF6"/>
    <w:rsid w:val="00C71161"/>
    <w:rsid w:val="00C73E40"/>
    <w:rsid w:val="00C954D5"/>
    <w:rsid w:val="00CA149C"/>
    <w:rsid w:val="00CA1A19"/>
    <w:rsid w:val="00CA467A"/>
    <w:rsid w:val="00CA5D37"/>
    <w:rsid w:val="00CB1B16"/>
    <w:rsid w:val="00CB3544"/>
    <w:rsid w:val="00CD55B0"/>
    <w:rsid w:val="00D00B0A"/>
    <w:rsid w:val="00D32396"/>
    <w:rsid w:val="00D50B16"/>
    <w:rsid w:val="00D62B9D"/>
    <w:rsid w:val="00D7167C"/>
    <w:rsid w:val="00D76FC2"/>
    <w:rsid w:val="00D84339"/>
    <w:rsid w:val="00DC1D5E"/>
    <w:rsid w:val="00DC6446"/>
    <w:rsid w:val="00DD27AE"/>
    <w:rsid w:val="00DD3845"/>
    <w:rsid w:val="00DE54D0"/>
    <w:rsid w:val="00DF1373"/>
    <w:rsid w:val="00E06604"/>
    <w:rsid w:val="00E15B38"/>
    <w:rsid w:val="00E33C60"/>
    <w:rsid w:val="00E36734"/>
    <w:rsid w:val="00E40343"/>
    <w:rsid w:val="00E568BA"/>
    <w:rsid w:val="00E57055"/>
    <w:rsid w:val="00E61A14"/>
    <w:rsid w:val="00E651FD"/>
    <w:rsid w:val="00E72D13"/>
    <w:rsid w:val="00E835D0"/>
    <w:rsid w:val="00EA1103"/>
    <w:rsid w:val="00EA3F02"/>
    <w:rsid w:val="00EA4819"/>
    <w:rsid w:val="00EB090E"/>
    <w:rsid w:val="00EB64AF"/>
    <w:rsid w:val="00EC673D"/>
    <w:rsid w:val="00ED2A42"/>
    <w:rsid w:val="00ED4F74"/>
    <w:rsid w:val="00EE34B7"/>
    <w:rsid w:val="00EF4824"/>
    <w:rsid w:val="00F11C30"/>
    <w:rsid w:val="00F23335"/>
    <w:rsid w:val="00F31B7E"/>
    <w:rsid w:val="00F36892"/>
    <w:rsid w:val="00F61798"/>
    <w:rsid w:val="00F71BD9"/>
    <w:rsid w:val="00F7672D"/>
    <w:rsid w:val="00F81627"/>
    <w:rsid w:val="00F86667"/>
    <w:rsid w:val="00FB0EF3"/>
    <w:rsid w:val="00FC074A"/>
    <w:rsid w:val="00FE23DC"/>
    <w:rsid w:val="00FE56B4"/>
    <w:rsid w:val="08541288"/>
    <w:rsid w:val="1D4F47B0"/>
    <w:rsid w:val="2805772D"/>
    <w:rsid w:val="31925353"/>
    <w:rsid w:val="334455D9"/>
    <w:rsid w:val="34530290"/>
    <w:rsid w:val="421E7B88"/>
    <w:rsid w:val="72B83B92"/>
    <w:rsid w:val="77A14FCA"/>
    <w:rsid w:val="7B7D20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uiPriority w:val="99"/>
    <w:pPr>
      <w:jc w:val="left"/>
    </w:pPr>
  </w:style>
  <w:style w:type="paragraph" w:styleId="4">
    <w:name w:val="Plain Text"/>
    <w:basedOn w:val="1"/>
    <w:link w:val="16"/>
    <w:semiHidden/>
    <w:unhideWhenUsed/>
    <w:qFormat/>
    <w:uiPriority w:val="0"/>
    <w:rPr>
      <w:rFonts w:ascii="宋体" w:hAnsi="Courier New" w:cs="Courier New"/>
      <w:kern w:val="0"/>
      <w:sz w:val="20"/>
      <w:szCs w:val="21"/>
    </w:rPr>
  </w:style>
  <w:style w:type="paragraph" w:styleId="5">
    <w:name w:val="Balloon Text"/>
    <w:basedOn w:val="1"/>
    <w:link w:val="12"/>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semiHidden/>
    <w:unhideWhenUsed/>
    <w:qFormat/>
    <w:uiPriority w:val="99"/>
    <w:rPr>
      <w:sz w:val="21"/>
      <w:szCs w:val="21"/>
    </w:rPr>
  </w:style>
  <w:style w:type="character" w:customStyle="1" w:styleId="11">
    <w:name w:val="标题 2 Char"/>
    <w:basedOn w:val="9"/>
    <w:link w:val="2"/>
    <w:qFormat/>
    <w:uiPriority w:val="0"/>
    <w:rPr>
      <w:rFonts w:ascii="Arial" w:hAnsi="Arial" w:eastAsia="黑体" w:cs="Times New Roman"/>
      <w:b/>
      <w:bCs/>
      <w:sz w:val="32"/>
      <w:szCs w:val="32"/>
    </w:rPr>
  </w:style>
  <w:style w:type="character" w:customStyle="1" w:styleId="12">
    <w:name w:val="批注框文本 Char"/>
    <w:basedOn w:val="9"/>
    <w:link w:val="5"/>
    <w:semiHidden/>
    <w:qFormat/>
    <w:uiPriority w:val="99"/>
    <w:rPr>
      <w:kern w:val="2"/>
      <w:sz w:val="18"/>
      <w:szCs w:val="18"/>
    </w:rPr>
  </w:style>
  <w:style w:type="character" w:customStyle="1" w:styleId="13">
    <w:name w:val="页眉 Char"/>
    <w:basedOn w:val="9"/>
    <w:link w:val="7"/>
    <w:qFormat/>
    <w:uiPriority w:val="99"/>
    <w:rPr>
      <w:kern w:val="2"/>
      <w:sz w:val="18"/>
      <w:szCs w:val="18"/>
    </w:rPr>
  </w:style>
  <w:style w:type="character" w:customStyle="1" w:styleId="14">
    <w:name w:val="页脚 Char"/>
    <w:basedOn w:val="9"/>
    <w:link w:val="6"/>
    <w:qFormat/>
    <w:uiPriority w:val="99"/>
    <w:rPr>
      <w:kern w:val="2"/>
      <w:sz w:val="18"/>
      <w:szCs w:val="18"/>
    </w:rPr>
  </w:style>
  <w:style w:type="character" w:customStyle="1" w:styleId="15">
    <w:name w:val="纯文本 Char"/>
    <w:basedOn w:val="9"/>
    <w:semiHidden/>
    <w:qFormat/>
    <w:uiPriority w:val="99"/>
    <w:rPr>
      <w:rFonts w:ascii="宋体" w:hAnsi="Courier New" w:cs="Courier New"/>
      <w:kern w:val="2"/>
      <w:sz w:val="21"/>
      <w:szCs w:val="21"/>
    </w:rPr>
  </w:style>
  <w:style w:type="character" w:customStyle="1" w:styleId="16">
    <w:name w:val="纯文本 Char1"/>
    <w:basedOn w:val="9"/>
    <w:link w:val="4"/>
    <w:semiHidden/>
    <w:qFormat/>
    <w:locked/>
    <w:uiPriority w:val="0"/>
    <w:rPr>
      <w:rFonts w:ascii="宋体" w:hAnsi="Courier New" w:cs="Courier New"/>
      <w:szCs w:val="21"/>
    </w:rPr>
  </w:style>
  <w:style w:type="paragraph" w:customStyle="1" w:styleId="17">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06A74-7087-4E93-B616-D0B03B553FF6}">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6</Pages>
  <Words>5100</Words>
  <Characters>5358</Characters>
  <Lines>41</Lines>
  <Paragraphs>11</Paragraphs>
  <TotalTime>10</TotalTime>
  <ScaleCrop>false</ScaleCrop>
  <LinksUpToDate>false</LinksUpToDate>
  <CharactersWithSpaces>5691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2021-03-19T09:27:00Z</dcterms:created>
  <dc:creator>Lenovo</dc:creator>
  <cp:lastModifiedBy>霞</cp:lastModifiedBy>
  <dcterms:modified xsi:type="dcterms:W3CDTF">2025-05-29T02:21:02Z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DF43B60D69004F7581819EE15280D7AD_12</vt:lpwstr>
  </property>
  <property fmtid="{D5CDD505-2E9C-101B-9397-08002B2CF9AE}" pid="4" name="KSOTemplateDocerSaveRecord">
    <vt:lpwstr>eyJoZGlkIjoiYWViZTQ3NDJjMDkyMzUwODc5YTNjNTA4ZjE4MmY1NzQiLCJ1c2VySWQiOiI5MDYwMjc5MTgifQ==</vt:lpwstr>
  </property>
</Properties>
</file>