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90BCD">
      <w:pPr>
        <w:snapToGrid w:val="0"/>
        <w:spacing w:line="360" w:lineRule="exact"/>
        <w:jc w:val="center"/>
        <w:rPr>
          <w:rFonts w:ascii="宋体" w:hAnsi="宋体"/>
          <w:b/>
          <w:bCs/>
          <w:sz w:val="36"/>
          <w:szCs w:val="36"/>
        </w:rPr>
      </w:pPr>
      <w:r>
        <w:rPr>
          <w:rFonts w:hint="eastAsia" w:ascii="宋体" w:hAnsi="宋体"/>
          <w:b/>
          <w:bCs/>
          <w:sz w:val="36"/>
          <w:szCs w:val="36"/>
        </w:rPr>
        <w:t>《采购合同》</w:t>
      </w:r>
    </w:p>
    <w:p w14:paraId="79B3F529">
      <w:pPr>
        <w:snapToGrid w:val="0"/>
        <w:spacing w:line="360" w:lineRule="exact"/>
        <w:ind w:right="480" w:firstLine="6720" w:firstLineChars="3200"/>
        <w:rPr>
          <w:rFonts w:ascii="仿宋_GB2312" w:hAnsi="宋体" w:eastAsia="仿宋_GB2312"/>
          <w:bCs/>
          <w:szCs w:val="21"/>
          <w:u w:val="single"/>
        </w:rPr>
      </w:pPr>
      <w:r>
        <w:rPr>
          <w:rFonts w:hint="eastAsia" w:ascii="仿宋_GB2312" w:hAnsi="宋体" w:eastAsia="仿宋_GB2312"/>
          <w:bCs/>
          <w:szCs w:val="21"/>
        </w:rPr>
        <w:t>校内合同编号：</w:t>
      </w:r>
    </w:p>
    <w:p w14:paraId="4A516DDA">
      <w:pPr>
        <w:snapToGrid w:val="0"/>
        <w:spacing w:line="360" w:lineRule="exact"/>
        <w:rPr>
          <w:rFonts w:ascii="仿宋_GB2312" w:hAnsi="宋体" w:eastAsia="仿宋_GB2312"/>
          <w:szCs w:val="21"/>
        </w:rPr>
      </w:pPr>
    </w:p>
    <w:p w14:paraId="292C6A98">
      <w:pPr>
        <w:snapToGrid w:val="0"/>
        <w:spacing w:line="36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桂林电子科技大学     </w:t>
      </w:r>
    </w:p>
    <w:p w14:paraId="3D2B2CF9">
      <w:pPr>
        <w:snapToGrid w:val="0"/>
        <w:spacing w:line="360" w:lineRule="exact"/>
        <w:rPr>
          <w:rFonts w:ascii="宋体" w:hAnsi="宋体"/>
          <w:szCs w:val="21"/>
          <w:u w:val="single"/>
        </w:rPr>
      </w:pPr>
      <w:r>
        <w:rPr>
          <w:rFonts w:hint="eastAsia" w:ascii="宋体" w:hAnsi="宋体"/>
          <w:szCs w:val="21"/>
        </w:rPr>
        <w:t xml:space="preserve">乙方（全称）： </w:t>
      </w:r>
      <w:r>
        <w:rPr>
          <w:rFonts w:hint="eastAsia" w:ascii="宋体" w:hAnsi="宋体"/>
          <w:szCs w:val="21"/>
          <w:u w:val="single"/>
        </w:rPr>
        <w:t xml:space="preserve">（供应商）      </w:t>
      </w:r>
      <w:bookmarkStart w:id="2" w:name="_GoBack"/>
      <w:bookmarkEnd w:id="2"/>
      <w:r>
        <w:rPr>
          <w:rFonts w:hint="eastAsia" w:ascii="宋体" w:hAnsi="宋体"/>
          <w:szCs w:val="21"/>
          <w:u w:val="single"/>
        </w:rPr>
        <w:t xml:space="preserve">    </w:t>
      </w:r>
    </w:p>
    <w:p w14:paraId="34D2415D">
      <w:pPr>
        <w:snapToGrid w:val="0"/>
        <w:spacing w:line="360" w:lineRule="exact"/>
        <w:rPr>
          <w:rFonts w:hint="default" w:ascii="宋体" w:hAnsi="宋体"/>
          <w:szCs w:val="21"/>
          <w:u w:val="single"/>
          <w:lang w:val="en-US" w:eastAsia="zh-CN"/>
        </w:rPr>
      </w:pPr>
      <w:r>
        <w:rPr>
          <w:rFonts w:hint="eastAsia" w:ascii="宋体" w:hAnsi="宋体"/>
          <w:szCs w:val="21"/>
        </w:rPr>
        <w:t xml:space="preserve">签订地点:  </w:t>
      </w:r>
      <w:r>
        <w:rPr>
          <w:rFonts w:hint="eastAsia" w:ascii="宋体" w:hAnsi="宋体"/>
          <w:szCs w:val="21"/>
          <w:u w:val="single"/>
        </w:rPr>
        <w:t xml:space="preserve">                  </w:t>
      </w:r>
      <w:r>
        <w:rPr>
          <w:rFonts w:hint="eastAsia" w:ascii="宋体" w:hAnsi="宋体"/>
          <w:szCs w:val="21"/>
        </w:rPr>
        <w:t xml:space="preserve">                     签订时间:</w:t>
      </w:r>
      <w:r>
        <w:rPr>
          <w:rFonts w:hint="eastAsia" w:ascii="宋体" w:hAnsi="宋体"/>
          <w:szCs w:val="21"/>
          <w:u w:val="none"/>
          <w:lang w:val="en-US" w:eastAsia="zh-CN"/>
        </w:rPr>
        <w:t xml:space="preserve"> </w:t>
      </w:r>
      <w:r>
        <w:rPr>
          <w:rFonts w:hint="eastAsia" w:ascii="宋体" w:hAnsi="宋体"/>
          <w:szCs w:val="21"/>
          <w:u w:val="single"/>
          <w:lang w:val="en-US" w:eastAsia="zh-CN"/>
        </w:rPr>
        <w:t xml:space="preserve">                </w:t>
      </w:r>
    </w:p>
    <w:p w14:paraId="50FFB434">
      <w:pPr>
        <w:snapToGrid w:val="0"/>
        <w:spacing w:line="360" w:lineRule="exact"/>
        <w:rPr>
          <w:rFonts w:ascii="宋体" w:hAnsi="宋体"/>
          <w:szCs w:val="21"/>
        </w:rPr>
      </w:pPr>
      <w:r>
        <w:rPr>
          <w:rFonts w:hint="eastAsia" w:ascii="宋体" w:hAnsi="宋体"/>
          <w:szCs w:val="21"/>
        </w:rPr>
        <w:t>根据《中华人民共和国政府采购法》、</w:t>
      </w:r>
      <w:r>
        <w:rPr>
          <w:rFonts w:hint="eastAsia" w:ascii="宋体" w:hAnsi="宋体"/>
        </w:rPr>
        <w:t>《中华人民共和国政府采购法实施条例》、</w:t>
      </w:r>
      <w:r>
        <w:rPr>
          <w:rFonts w:hint="eastAsia" w:ascii="宋体" w:hAnsi="宋体"/>
          <w:szCs w:val="21"/>
        </w:rPr>
        <w:t>《</w:t>
      </w:r>
      <w:r>
        <w:rPr>
          <w:rFonts w:ascii="Arial" w:hAnsi="Arial" w:cs="Arial"/>
          <w:szCs w:val="21"/>
          <w:shd w:val="clear" w:color="auto" w:fill="FFFFFF"/>
        </w:rPr>
        <w:t>中华人民共和国民法典</w:t>
      </w:r>
      <w:r>
        <w:rPr>
          <w:rFonts w:hint="eastAsia" w:ascii="宋体" w:hAnsi="宋体"/>
          <w:szCs w:val="21"/>
        </w:rPr>
        <w:t>》等法律、法规规定，甲乙双方协商同意签订本合同。</w:t>
      </w:r>
    </w:p>
    <w:p w14:paraId="01564537">
      <w:pPr>
        <w:snapToGrid w:val="0"/>
        <w:spacing w:line="360" w:lineRule="exact"/>
        <w:rPr>
          <w:rFonts w:ascii="宋体" w:hAnsi="宋体"/>
          <w:b/>
          <w:szCs w:val="21"/>
        </w:rPr>
      </w:pPr>
      <w:r>
        <w:rPr>
          <w:rFonts w:hint="eastAsia" w:ascii="宋体" w:hAnsi="宋体"/>
          <w:b/>
          <w:szCs w:val="21"/>
        </w:rPr>
        <w:t>第一条　合同标的</w:t>
      </w:r>
    </w:p>
    <w:p w14:paraId="137BDA5F">
      <w:pPr>
        <w:pStyle w:val="18"/>
        <w:numPr>
          <w:ilvl w:val="0"/>
          <w:numId w:val="1"/>
        </w:numPr>
        <w:snapToGrid w:val="0"/>
        <w:spacing w:line="360" w:lineRule="exact"/>
        <w:ind w:firstLineChars="0"/>
        <w:rPr>
          <w:rFonts w:ascii="宋体" w:hAnsi="宋体"/>
          <w:szCs w:val="21"/>
        </w:rPr>
      </w:pPr>
      <w:r>
        <w:rPr>
          <w:rFonts w:hint="eastAsia" w:ascii="宋体" w:hAnsi="宋体"/>
          <w:szCs w:val="21"/>
        </w:rPr>
        <w:t>服务项目一览表</w:t>
      </w:r>
    </w:p>
    <w:tbl>
      <w:tblPr>
        <w:tblStyle w:val="8"/>
        <w:tblW w:w="9706"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1701"/>
        <w:gridCol w:w="2977"/>
        <w:gridCol w:w="708"/>
        <w:gridCol w:w="709"/>
        <w:gridCol w:w="1016"/>
        <w:gridCol w:w="1564"/>
      </w:tblGrid>
      <w:tr w14:paraId="41D8E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031" w:type="dxa"/>
            <w:vAlign w:val="center"/>
          </w:tcPr>
          <w:p w14:paraId="1122C885">
            <w:pPr>
              <w:snapToGrid w:val="0"/>
              <w:spacing w:line="360" w:lineRule="exact"/>
              <w:jc w:val="center"/>
              <w:rPr>
                <w:rFonts w:ascii="宋体" w:hAnsi="宋体"/>
                <w:szCs w:val="21"/>
              </w:rPr>
            </w:pPr>
            <w:r>
              <w:rPr>
                <w:rFonts w:hint="eastAsia" w:ascii="宋体" w:hAnsi="宋体"/>
                <w:szCs w:val="21"/>
              </w:rPr>
              <w:t>项号</w:t>
            </w:r>
          </w:p>
        </w:tc>
        <w:tc>
          <w:tcPr>
            <w:tcW w:w="1701" w:type="dxa"/>
            <w:vAlign w:val="center"/>
          </w:tcPr>
          <w:p w14:paraId="6A8ED373">
            <w:pPr>
              <w:snapToGrid w:val="0"/>
              <w:spacing w:line="360" w:lineRule="exact"/>
              <w:jc w:val="center"/>
              <w:rPr>
                <w:rFonts w:ascii="宋体" w:hAnsi="宋体"/>
                <w:szCs w:val="21"/>
              </w:rPr>
            </w:pPr>
            <w:r>
              <w:rPr>
                <w:rFonts w:hint="eastAsia" w:ascii="宋体" w:hAnsi="宋体"/>
                <w:szCs w:val="21"/>
              </w:rPr>
              <w:t>名称</w:t>
            </w:r>
          </w:p>
        </w:tc>
        <w:tc>
          <w:tcPr>
            <w:tcW w:w="2977" w:type="dxa"/>
            <w:vAlign w:val="center"/>
          </w:tcPr>
          <w:p w14:paraId="10AEC311">
            <w:pPr>
              <w:snapToGrid w:val="0"/>
              <w:spacing w:line="360" w:lineRule="exact"/>
              <w:jc w:val="center"/>
              <w:rPr>
                <w:rFonts w:ascii="宋体" w:hAnsi="宋体"/>
                <w:szCs w:val="21"/>
              </w:rPr>
            </w:pPr>
            <w:r>
              <w:rPr>
                <w:rFonts w:hint="eastAsia" w:ascii="宋体" w:hAnsi="宋体"/>
                <w:szCs w:val="30"/>
              </w:rPr>
              <w:t>服务内容</w:t>
            </w:r>
          </w:p>
        </w:tc>
        <w:tc>
          <w:tcPr>
            <w:tcW w:w="708" w:type="dxa"/>
            <w:vAlign w:val="center"/>
          </w:tcPr>
          <w:p w14:paraId="7DD59B02">
            <w:pPr>
              <w:snapToGrid w:val="0"/>
              <w:spacing w:line="360" w:lineRule="exact"/>
              <w:jc w:val="center"/>
              <w:rPr>
                <w:rFonts w:ascii="宋体" w:hAnsi="宋体"/>
                <w:szCs w:val="21"/>
              </w:rPr>
            </w:pPr>
            <w:r>
              <w:rPr>
                <w:rFonts w:hint="eastAsia" w:ascii="宋体" w:hAnsi="宋体"/>
                <w:szCs w:val="21"/>
              </w:rPr>
              <w:t>数量</w:t>
            </w:r>
          </w:p>
          <w:p w14:paraId="6A131488">
            <w:pPr>
              <w:snapToGrid w:val="0"/>
              <w:spacing w:line="360" w:lineRule="exact"/>
              <w:jc w:val="center"/>
              <w:rPr>
                <w:rFonts w:ascii="宋体" w:hAnsi="宋体"/>
                <w:szCs w:val="21"/>
              </w:rPr>
            </w:pPr>
            <w:r>
              <w:rPr>
                <w:rFonts w:hint="eastAsia" w:ascii="宋体" w:hAnsi="宋体"/>
                <w:szCs w:val="21"/>
              </w:rPr>
              <w:t>①</w:t>
            </w:r>
          </w:p>
        </w:tc>
        <w:tc>
          <w:tcPr>
            <w:tcW w:w="709" w:type="dxa"/>
            <w:vAlign w:val="center"/>
          </w:tcPr>
          <w:p w14:paraId="0EEF2796">
            <w:pPr>
              <w:snapToGrid w:val="0"/>
              <w:spacing w:line="360" w:lineRule="exact"/>
              <w:jc w:val="center"/>
              <w:rPr>
                <w:rFonts w:ascii="宋体" w:hAnsi="宋体"/>
                <w:szCs w:val="21"/>
              </w:rPr>
            </w:pPr>
            <w:r>
              <w:rPr>
                <w:rFonts w:hint="eastAsia" w:ascii="宋体" w:hAnsi="宋体"/>
                <w:szCs w:val="21"/>
              </w:rPr>
              <w:t>单位</w:t>
            </w:r>
          </w:p>
        </w:tc>
        <w:tc>
          <w:tcPr>
            <w:tcW w:w="1016" w:type="dxa"/>
            <w:vAlign w:val="center"/>
          </w:tcPr>
          <w:p w14:paraId="6E2F15AF">
            <w:pPr>
              <w:snapToGrid w:val="0"/>
              <w:spacing w:line="360" w:lineRule="exact"/>
              <w:jc w:val="center"/>
              <w:rPr>
                <w:rFonts w:ascii="宋体" w:hAnsi="宋体"/>
                <w:szCs w:val="21"/>
              </w:rPr>
            </w:pPr>
            <w:r>
              <w:rPr>
                <w:rFonts w:hint="eastAsia" w:ascii="宋体" w:hAnsi="宋体"/>
                <w:szCs w:val="21"/>
              </w:rPr>
              <w:t>单价（元）</w:t>
            </w:r>
          </w:p>
          <w:p w14:paraId="042278F1">
            <w:pPr>
              <w:snapToGrid w:val="0"/>
              <w:spacing w:line="360" w:lineRule="exact"/>
              <w:jc w:val="center"/>
              <w:rPr>
                <w:rFonts w:ascii="宋体" w:hAnsi="宋体"/>
                <w:szCs w:val="21"/>
              </w:rPr>
            </w:pPr>
            <w:r>
              <w:rPr>
                <w:rFonts w:hint="eastAsia" w:ascii="宋体" w:hAnsi="宋体"/>
                <w:szCs w:val="21"/>
              </w:rPr>
              <w:t>②</w:t>
            </w:r>
          </w:p>
        </w:tc>
        <w:tc>
          <w:tcPr>
            <w:tcW w:w="1564" w:type="dxa"/>
            <w:vAlign w:val="center"/>
          </w:tcPr>
          <w:p w14:paraId="593C40DA">
            <w:pPr>
              <w:snapToGrid w:val="0"/>
              <w:spacing w:line="360" w:lineRule="exact"/>
              <w:jc w:val="center"/>
              <w:rPr>
                <w:rFonts w:ascii="宋体" w:hAnsi="宋体"/>
                <w:szCs w:val="21"/>
              </w:rPr>
            </w:pPr>
            <w:r>
              <w:rPr>
                <w:rFonts w:hint="eastAsia" w:ascii="宋体" w:hAnsi="宋体"/>
                <w:b/>
                <w:szCs w:val="21"/>
              </w:rPr>
              <w:t>单项合计金额</w:t>
            </w:r>
            <w:r>
              <w:rPr>
                <w:rFonts w:hint="eastAsia" w:ascii="宋体" w:hAnsi="宋体"/>
                <w:szCs w:val="21"/>
              </w:rPr>
              <w:t>（元）</w:t>
            </w:r>
          </w:p>
          <w:p w14:paraId="3B12379A">
            <w:pPr>
              <w:snapToGrid w:val="0"/>
              <w:spacing w:line="360" w:lineRule="exact"/>
              <w:jc w:val="center"/>
              <w:rPr>
                <w:rFonts w:ascii="宋体" w:hAnsi="宋体"/>
                <w:szCs w:val="21"/>
              </w:rPr>
            </w:pPr>
            <w:r>
              <w:rPr>
                <w:rFonts w:hint="eastAsia" w:ascii="宋体" w:hAnsi="宋体"/>
                <w:szCs w:val="21"/>
              </w:rPr>
              <w:t>③＝①×②</w:t>
            </w:r>
          </w:p>
        </w:tc>
      </w:tr>
      <w:tr w14:paraId="0A746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031" w:type="dxa"/>
            <w:vAlign w:val="center"/>
          </w:tcPr>
          <w:p w14:paraId="2EDF9781">
            <w:pPr>
              <w:spacing w:line="360" w:lineRule="exact"/>
              <w:jc w:val="center"/>
              <w:rPr>
                <w:rFonts w:ascii="宋体" w:hAnsi="宋体" w:cs="宋体"/>
                <w:szCs w:val="21"/>
              </w:rPr>
            </w:pPr>
            <w:r>
              <w:rPr>
                <w:rFonts w:hint="eastAsia" w:ascii="宋体" w:hAnsi="宋体" w:cs="宋体"/>
                <w:szCs w:val="21"/>
              </w:rPr>
              <w:t>1</w:t>
            </w:r>
          </w:p>
        </w:tc>
        <w:tc>
          <w:tcPr>
            <w:tcW w:w="1701" w:type="dxa"/>
            <w:vAlign w:val="center"/>
          </w:tcPr>
          <w:p w14:paraId="1F752ACB">
            <w:pPr>
              <w:spacing w:line="360" w:lineRule="exact"/>
              <w:jc w:val="center"/>
              <w:rPr>
                <w:rFonts w:ascii="宋体" w:hAnsi="宋体" w:cs="宋体"/>
                <w:szCs w:val="21"/>
              </w:rPr>
            </w:pPr>
          </w:p>
        </w:tc>
        <w:tc>
          <w:tcPr>
            <w:tcW w:w="2977" w:type="dxa"/>
            <w:vAlign w:val="center"/>
          </w:tcPr>
          <w:p w14:paraId="57EECAD2">
            <w:pPr>
              <w:snapToGrid w:val="0"/>
              <w:spacing w:line="360" w:lineRule="exact"/>
              <w:rPr>
                <w:rFonts w:ascii="宋体" w:hAnsi="宋体"/>
                <w:szCs w:val="21"/>
              </w:rPr>
            </w:pPr>
          </w:p>
        </w:tc>
        <w:tc>
          <w:tcPr>
            <w:tcW w:w="708" w:type="dxa"/>
            <w:vAlign w:val="center"/>
          </w:tcPr>
          <w:p w14:paraId="690E7C2B">
            <w:pPr>
              <w:spacing w:line="360" w:lineRule="exact"/>
              <w:jc w:val="center"/>
              <w:rPr>
                <w:rFonts w:ascii="宋体" w:hAnsi="宋体" w:cs="宋体"/>
                <w:szCs w:val="21"/>
              </w:rPr>
            </w:pPr>
          </w:p>
        </w:tc>
        <w:tc>
          <w:tcPr>
            <w:tcW w:w="709" w:type="dxa"/>
            <w:vAlign w:val="center"/>
          </w:tcPr>
          <w:p w14:paraId="484E2026">
            <w:pPr>
              <w:spacing w:line="360" w:lineRule="exact"/>
              <w:jc w:val="center"/>
              <w:rPr>
                <w:rFonts w:ascii="宋体" w:hAnsi="宋体" w:cs="宋体"/>
                <w:szCs w:val="21"/>
              </w:rPr>
            </w:pPr>
          </w:p>
        </w:tc>
        <w:tc>
          <w:tcPr>
            <w:tcW w:w="1016" w:type="dxa"/>
            <w:vAlign w:val="center"/>
          </w:tcPr>
          <w:p w14:paraId="50D319A5">
            <w:pPr>
              <w:snapToGrid w:val="0"/>
              <w:spacing w:line="360" w:lineRule="exact"/>
              <w:rPr>
                <w:rFonts w:ascii="宋体" w:hAnsi="宋体"/>
                <w:szCs w:val="21"/>
              </w:rPr>
            </w:pPr>
          </w:p>
        </w:tc>
        <w:tc>
          <w:tcPr>
            <w:tcW w:w="1564" w:type="dxa"/>
            <w:vAlign w:val="center"/>
          </w:tcPr>
          <w:p w14:paraId="5F75115F">
            <w:pPr>
              <w:snapToGrid w:val="0"/>
              <w:spacing w:line="360" w:lineRule="exact"/>
              <w:rPr>
                <w:rFonts w:ascii="宋体" w:hAnsi="宋体"/>
                <w:szCs w:val="21"/>
              </w:rPr>
            </w:pPr>
          </w:p>
        </w:tc>
      </w:tr>
      <w:tr w14:paraId="31A5A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031" w:type="dxa"/>
            <w:vAlign w:val="center"/>
          </w:tcPr>
          <w:p w14:paraId="0F53560B">
            <w:pPr>
              <w:spacing w:line="360" w:lineRule="exact"/>
              <w:jc w:val="center"/>
              <w:rPr>
                <w:rFonts w:ascii="宋体" w:hAnsi="宋体" w:cs="宋体"/>
                <w:szCs w:val="21"/>
              </w:rPr>
            </w:pPr>
            <w:r>
              <w:rPr>
                <w:rFonts w:hint="eastAsia" w:ascii="宋体" w:hAnsi="宋体" w:cs="宋体"/>
                <w:szCs w:val="21"/>
              </w:rPr>
              <w:t>2</w:t>
            </w:r>
          </w:p>
        </w:tc>
        <w:tc>
          <w:tcPr>
            <w:tcW w:w="1701" w:type="dxa"/>
            <w:vAlign w:val="center"/>
          </w:tcPr>
          <w:p w14:paraId="1CE9E983">
            <w:pPr>
              <w:spacing w:line="360" w:lineRule="exact"/>
              <w:jc w:val="center"/>
              <w:rPr>
                <w:rFonts w:ascii="宋体" w:hAnsi="宋体" w:cs="宋体"/>
                <w:szCs w:val="21"/>
              </w:rPr>
            </w:pPr>
          </w:p>
        </w:tc>
        <w:tc>
          <w:tcPr>
            <w:tcW w:w="2977" w:type="dxa"/>
            <w:vAlign w:val="center"/>
          </w:tcPr>
          <w:p w14:paraId="5D5CB6C4">
            <w:pPr>
              <w:snapToGrid w:val="0"/>
              <w:spacing w:line="360" w:lineRule="exact"/>
              <w:rPr>
                <w:rFonts w:ascii="宋体" w:hAnsi="宋体"/>
                <w:szCs w:val="21"/>
              </w:rPr>
            </w:pPr>
          </w:p>
        </w:tc>
        <w:tc>
          <w:tcPr>
            <w:tcW w:w="708" w:type="dxa"/>
            <w:vAlign w:val="center"/>
          </w:tcPr>
          <w:p w14:paraId="0828BE88">
            <w:pPr>
              <w:spacing w:line="360" w:lineRule="exact"/>
              <w:jc w:val="center"/>
              <w:rPr>
                <w:rFonts w:ascii="宋体" w:hAnsi="宋体" w:cs="宋体"/>
                <w:szCs w:val="21"/>
              </w:rPr>
            </w:pPr>
          </w:p>
        </w:tc>
        <w:tc>
          <w:tcPr>
            <w:tcW w:w="709" w:type="dxa"/>
            <w:vAlign w:val="center"/>
          </w:tcPr>
          <w:p w14:paraId="500B77D9">
            <w:pPr>
              <w:spacing w:line="360" w:lineRule="exact"/>
              <w:jc w:val="center"/>
              <w:rPr>
                <w:rFonts w:ascii="宋体" w:hAnsi="宋体" w:cs="宋体"/>
                <w:szCs w:val="21"/>
              </w:rPr>
            </w:pPr>
          </w:p>
        </w:tc>
        <w:tc>
          <w:tcPr>
            <w:tcW w:w="1016" w:type="dxa"/>
            <w:vAlign w:val="center"/>
          </w:tcPr>
          <w:p w14:paraId="1003E8FB">
            <w:pPr>
              <w:snapToGrid w:val="0"/>
              <w:spacing w:line="360" w:lineRule="exact"/>
              <w:rPr>
                <w:rFonts w:ascii="宋体" w:hAnsi="宋体"/>
                <w:szCs w:val="21"/>
              </w:rPr>
            </w:pPr>
          </w:p>
        </w:tc>
        <w:tc>
          <w:tcPr>
            <w:tcW w:w="1564" w:type="dxa"/>
            <w:vAlign w:val="center"/>
          </w:tcPr>
          <w:p w14:paraId="4E6EEAB0">
            <w:pPr>
              <w:snapToGrid w:val="0"/>
              <w:spacing w:line="360" w:lineRule="exact"/>
              <w:rPr>
                <w:rFonts w:ascii="宋体" w:hAnsi="宋体"/>
                <w:szCs w:val="21"/>
              </w:rPr>
            </w:pPr>
          </w:p>
        </w:tc>
      </w:tr>
      <w:tr w14:paraId="4C69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031" w:type="dxa"/>
            <w:vAlign w:val="center"/>
          </w:tcPr>
          <w:p w14:paraId="3D5D8D0C">
            <w:pPr>
              <w:spacing w:line="360" w:lineRule="exact"/>
              <w:jc w:val="center"/>
              <w:rPr>
                <w:rFonts w:ascii="宋体" w:hAnsi="宋体" w:cs="宋体"/>
                <w:color w:val="auto"/>
                <w:szCs w:val="21"/>
              </w:rPr>
            </w:pPr>
            <w:r>
              <w:rPr>
                <w:rFonts w:hint="eastAsia" w:ascii="宋体" w:hAnsi="宋体"/>
                <w:color w:val="auto"/>
                <w:szCs w:val="21"/>
                <w:highlight w:val="none"/>
              </w:rPr>
              <w:t>……</w:t>
            </w:r>
          </w:p>
        </w:tc>
        <w:tc>
          <w:tcPr>
            <w:tcW w:w="1701" w:type="dxa"/>
            <w:vAlign w:val="center"/>
          </w:tcPr>
          <w:p w14:paraId="39BBA874">
            <w:pPr>
              <w:spacing w:line="360" w:lineRule="exact"/>
              <w:jc w:val="center"/>
              <w:rPr>
                <w:rFonts w:ascii="宋体" w:hAnsi="宋体" w:cs="宋体"/>
                <w:color w:val="auto"/>
                <w:szCs w:val="21"/>
              </w:rPr>
            </w:pPr>
          </w:p>
        </w:tc>
        <w:tc>
          <w:tcPr>
            <w:tcW w:w="2977" w:type="dxa"/>
            <w:vAlign w:val="center"/>
          </w:tcPr>
          <w:p w14:paraId="2166CD83">
            <w:pPr>
              <w:snapToGrid w:val="0"/>
              <w:spacing w:line="360" w:lineRule="exact"/>
              <w:rPr>
                <w:rFonts w:ascii="宋体" w:hAnsi="宋体"/>
                <w:color w:val="auto"/>
                <w:szCs w:val="21"/>
              </w:rPr>
            </w:pPr>
          </w:p>
        </w:tc>
        <w:tc>
          <w:tcPr>
            <w:tcW w:w="708" w:type="dxa"/>
            <w:vAlign w:val="center"/>
          </w:tcPr>
          <w:p w14:paraId="3A714E83">
            <w:pPr>
              <w:spacing w:line="360" w:lineRule="exact"/>
              <w:jc w:val="center"/>
              <w:rPr>
                <w:rFonts w:ascii="宋体" w:hAnsi="宋体" w:cs="宋体"/>
                <w:color w:val="auto"/>
                <w:szCs w:val="21"/>
              </w:rPr>
            </w:pPr>
          </w:p>
        </w:tc>
        <w:tc>
          <w:tcPr>
            <w:tcW w:w="709" w:type="dxa"/>
            <w:vAlign w:val="center"/>
          </w:tcPr>
          <w:p w14:paraId="6D7AB326">
            <w:pPr>
              <w:spacing w:line="360" w:lineRule="exact"/>
              <w:jc w:val="center"/>
              <w:rPr>
                <w:rFonts w:ascii="宋体" w:hAnsi="宋体" w:cs="宋体"/>
                <w:color w:val="auto"/>
                <w:szCs w:val="21"/>
              </w:rPr>
            </w:pPr>
          </w:p>
        </w:tc>
        <w:tc>
          <w:tcPr>
            <w:tcW w:w="1016" w:type="dxa"/>
            <w:vAlign w:val="center"/>
          </w:tcPr>
          <w:p w14:paraId="34D2C7AE">
            <w:pPr>
              <w:snapToGrid w:val="0"/>
              <w:spacing w:line="360" w:lineRule="exact"/>
              <w:rPr>
                <w:rFonts w:ascii="宋体" w:hAnsi="宋体"/>
                <w:color w:val="auto"/>
                <w:szCs w:val="21"/>
              </w:rPr>
            </w:pPr>
          </w:p>
        </w:tc>
        <w:tc>
          <w:tcPr>
            <w:tcW w:w="1564" w:type="dxa"/>
            <w:vAlign w:val="center"/>
          </w:tcPr>
          <w:p w14:paraId="1C5944F6">
            <w:pPr>
              <w:snapToGrid w:val="0"/>
              <w:spacing w:line="360" w:lineRule="exact"/>
              <w:rPr>
                <w:rFonts w:ascii="宋体" w:hAnsi="宋体"/>
                <w:color w:val="auto"/>
                <w:szCs w:val="21"/>
              </w:rPr>
            </w:pPr>
          </w:p>
        </w:tc>
      </w:tr>
      <w:tr w14:paraId="178A8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9706" w:type="dxa"/>
            <w:gridSpan w:val="7"/>
            <w:vAlign w:val="center"/>
          </w:tcPr>
          <w:p w14:paraId="00B6D696">
            <w:pPr>
              <w:snapToGrid w:val="0"/>
              <w:spacing w:line="360" w:lineRule="exact"/>
              <w:rPr>
                <w:rFonts w:ascii="宋体" w:hAnsi="宋体"/>
                <w:color w:val="auto"/>
                <w:szCs w:val="21"/>
              </w:rPr>
            </w:pPr>
            <w:r>
              <w:rPr>
                <w:rFonts w:hint="eastAsia" w:ascii="宋体" w:hAnsi="宋体"/>
                <w:color w:val="auto"/>
                <w:szCs w:val="21"/>
              </w:rPr>
              <w:t xml:space="preserve">（合计金额）大写：                  </w:t>
            </w:r>
            <w:r>
              <w:rPr>
                <w:rFonts w:hint="eastAsia" w:ascii="宋体" w:hAnsi="宋体"/>
                <w:color w:val="auto"/>
                <w:spacing w:val="20"/>
                <w:szCs w:val="21"/>
              </w:rPr>
              <w:t>人民币（¥               ）</w:t>
            </w:r>
          </w:p>
        </w:tc>
      </w:tr>
    </w:tbl>
    <w:p w14:paraId="0AAEC90C">
      <w:pPr>
        <w:snapToGrid w:val="0"/>
        <w:spacing w:line="340" w:lineRule="exact"/>
        <w:rPr>
          <w:rFonts w:hAnsi="宋体"/>
          <w:color w:val="auto"/>
        </w:rPr>
      </w:pPr>
      <w:r>
        <w:rPr>
          <w:rFonts w:hint="eastAsia" w:ascii="宋体" w:hAnsi="宋体"/>
          <w:color w:val="auto"/>
          <w:szCs w:val="21"/>
        </w:rPr>
        <w:t>2.</w:t>
      </w:r>
      <w:r>
        <w:rPr>
          <w:rFonts w:hint="eastAsia" w:hAnsi="宋体"/>
          <w:color w:val="auto"/>
        </w:rPr>
        <w:t xml:space="preserve"> 合同合计金额包括但不限于满足本次采购需求所应提供的服务，以及伴随的货物和工程（如有）的价格：包含本次采购范围内服务、货物工程的成本、运输（含保险）、装卸、保险、税金、货到就位以及安装、安装所需辅材、调试、检测、技术服务、培训等与本项目相关的所有费用。</w:t>
      </w:r>
    </w:p>
    <w:p w14:paraId="5FD24B69">
      <w:pPr>
        <w:snapToGrid w:val="0"/>
        <w:spacing w:line="340" w:lineRule="exact"/>
        <w:ind w:firstLine="316" w:firstLineChars="150"/>
        <w:rPr>
          <w:rFonts w:ascii="宋体" w:hAnsi="宋体"/>
          <w:b/>
          <w:color w:val="auto"/>
          <w:szCs w:val="21"/>
        </w:rPr>
      </w:pPr>
      <w:r>
        <w:rPr>
          <w:rFonts w:hint="eastAsia" w:ascii="宋体" w:hAnsi="宋体"/>
          <w:b/>
          <w:color w:val="auto"/>
          <w:szCs w:val="21"/>
        </w:rPr>
        <w:t>3.合同履行</w:t>
      </w:r>
    </w:p>
    <w:p w14:paraId="547AFC06">
      <w:pPr>
        <w:snapToGrid w:val="0"/>
        <w:spacing w:line="340" w:lineRule="exact"/>
        <w:ind w:firstLine="420" w:firstLineChars="200"/>
        <w:rPr>
          <w:rFonts w:ascii="宋体" w:hAnsi="宋体"/>
          <w:color w:val="auto"/>
          <w:szCs w:val="21"/>
        </w:rPr>
      </w:pPr>
      <w:r>
        <w:rPr>
          <w:rFonts w:ascii="宋体" w:hAnsi="宋体" w:cs="宋体"/>
          <w:color w:val="auto"/>
          <w:szCs w:val="21"/>
        </w:rPr>
        <w:t>3.</w:t>
      </w:r>
      <w:r>
        <w:rPr>
          <w:rFonts w:hint="eastAsia" w:ascii="宋体" w:hAnsi="宋体" w:cs="宋体"/>
          <w:color w:val="auto"/>
          <w:szCs w:val="21"/>
        </w:rPr>
        <w:t>1履约</w:t>
      </w:r>
      <w:r>
        <w:rPr>
          <w:rFonts w:hint="eastAsia" w:ascii="宋体" w:hAnsi="宋体"/>
          <w:color w:val="auto"/>
          <w:szCs w:val="21"/>
        </w:rPr>
        <w:t>时间及地点：</w:t>
      </w:r>
    </w:p>
    <w:p w14:paraId="42236234">
      <w:pPr>
        <w:snapToGrid w:val="0"/>
        <w:spacing w:line="340" w:lineRule="exact"/>
        <w:ind w:left="420" w:leftChars="200"/>
        <w:rPr>
          <w:rFonts w:ascii="宋体" w:hAnsi="宋体"/>
          <w:color w:val="auto"/>
          <w:szCs w:val="21"/>
        </w:rPr>
      </w:pPr>
      <w:r>
        <w:rPr>
          <w:rFonts w:hint="eastAsia" w:ascii="宋体" w:hAnsi="宋体"/>
          <w:color w:val="auto"/>
          <w:szCs w:val="21"/>
        </w:rPr>
        <w:t>履约时间：</w:t>
      </w:r>
      <w:r>
        <w:rPr>
          <w:rFonts w:hint="eastAsia" w:ascii="宋体" w:hAnsi="宋体"/>
          <w:color w:val="auto"/>
          <w:szCs w:val="21"/>
          <w:u w:val="single"/>
        </w:rPr>
        <w:t xml:space="preserve">                         </w:t>
      </w:r>
      <w:r>
        <w:rPr>
          <w:rFonts w:hint="eastAsia" w:ascii="宋体" w:hAnsi="宋体"/>
          <w:color w:val="auto"/>
          <w:szCs w:val="21"/>
        </w:rPr>
        <w:t>【按乙方响应文件中承诺的不超过采购文件要求的时间】；履约地点：</w:t>
      </w:r>
      <w:r>
        <w:rPr>
          <w:rFonts w:hint="eastAsia" w:ascii="宋体" w:hAnsi="宋体"/>
          <w:color w:val="auto"/>
          <w:szCs w:val="21"/>
          <w:u w:val="single"/>
        </w:rPr>
        <w:t xml:space="preserve">                        </w:t>
      </w:r>
      <w:r>
        <w:rPr>
          <w:rFonts w:hint="eastAsia" w:ascii="宋体" w:hAnsi="宋体"/>
          <w:color w:val="auto"/>
          <w:szCs w:val="21"/>
        </w:rPr>
        <w:t>。</w:t>
      </w:r>
    </w:p>
    <w:p w14:paraId="2107AAC9">
      <w:pPr>
        <w:snapToGrid w:val="0"/>
        <w:spacing w:line="340" w:lineRule="exact"/>
        <w:ind w:firstLine="420" w:firstLineChars="200"/>
        <w:rPr>
          <w:rFonts w:ascii="宋体" w:hAnsi="宋体"/>
          <w:color w:val="auto"/>
          <w:szCs w:val="21"/>
        </w:rPr>
      </w:pPr>
      <w:r>
        <w:rPr>
          <w:rFonts w:hint="eastAsia" w:ascii="宋体" w:hAnsi="宋体"/>
          <w:color w:val="auto"/>
          <w:szCs w:val="21"/>
        </w:rPr>
        <w:t>3.2.乙方应按</w:t>
      </w:r>
      <w:bookmarkStart w:id="0" w:name="_Hlk160519455"/>
      <w:r>
        <w:rPr>
          <w:rFonts w:hint="eastAsia" w:ascii="宋体" w:hAnsi="宋体"/>
          <w:color w:val="auto"/>
          <w:szCs w:val="21"/>
        </w:rPr>
        <w:t>响应文件的承诺</w:t>
      </w:r>
      <w:bookmarkEnd w:id="0"/>
      <w:r>
        <w:rPr>
          <w:rFonts w:hint="eastAsia" w:ascii="宋体" w:hAnsi="宋体"/>
          <w:color w:val="auto"/>
          <w:szCs w:val="21"/>
        </w:rPr>
        <w:t>向甲方提供相应的服务，并提供所服务内容的相关技术资料。</w:t>
      </w:r>
    </w:p>
    <w:p w14:paraId="428A3C5A">
      <w:pPr>
        <w:snapToGrid w:val="0"/>
        <w:spacing w:line="340" w:lineRule="exact"/>
        <w:ind w:firstLine="420" w:firstLineChars="200"/>
        <w:rPr>
          <w:rFonts w:ascii="宋体" w:hAnsi="宋体"/>
          <w:color w:val="auto"/>
          <w:szCs w:val="21"/>
        </w:rPr>
      </w:pPr>
      <w:r>
        <w:rPr>
          <w:rFonts w:hint="eastAsia" w:ascii="宋体" w:hAnsi="宋体"/>
          <w:color w:val="auto"/>
          <w:szCs w:val="21"/>
        </w:rPr>
        <w:t>3.3.乙方提供不符合响应文件和本合同规定的服务成果，甲方有权拒绝接受。</w:t>
      </w:r>
    </w:p>
    <w:p w14:paraId="258FB0FF">
      <w:pPr>
        <w:adjustRightInd w:val="0"/>
        <w:snapToGrid w:val="0"/>
        <w:spacing w:line="400" w:lineRule="exact"/>
        <w:ind w:firstLine="420" w:firstLineChars="200"/>
        <w:rPr>
          <w:rFonts w:ascii="宋体" w:hAnsi="宋体" w:cs="宋体"/>
          <w:color w:val="auto"/>
          <w:szCs w:val="21"/>
        </w:rPr>
      </w:pPr>
      <w:r>
        <w:rPr>
          <w:rFonts w:ascii="宋体" w:hAnsi="宋体" w:cs="宋体"/>
          <w:color w:val="auto"/>
          <w:szCs w:val="21"/>
        </w:rPr>
        <w:t>3.</w:t>
      </w:r>
      <w:r>
        <w:rPr>
          <w:rFonts w:hint="eastAsia" w:ascii="宋体" w:hAnsi="宋体" w:cs="宋体"/>
          <w:bCs/>
          <w:color w:val="auto"/>
          <w:szCs w:val="21"/>
        </w:rPr>
        <w:t>4履约担保：</w:t>
      </w:r>
      <w:r>
        <w:rPr>
          <w:rFonts w:hint="eastAsia" w:ascii="宋体" w:hAnsi="宋体" w:cs="宋体"/>
          <w:color w:val="auto"/>
        </w:rPr>
        <w:t>是否收取履约保证金：</w:t>
      </w:r>
      <w:r>
        <w:rPr>
          <w:rFonts w:ascii="宋体" w:hAnsi="宋体" w:cs="宋体"/>
          <w:color w:val="auto"/>
          <w:szCs w:val="21"/>
        </w:rPr>
        <w:sym w:font="Wingdings" w:char="00A8"/>
      </w:r>
      <w:r>
        <w:rPr>
          <w:rFonts w:hint="eastAsia" w:ascii="宋体" w:hAnsi="宋体" w:cs="宋体"/>
          <w:color w:val="auto"/>
          <w:szCs w:val="21"/>
        </w:rPr>
        <w:t xml:space="preserve">是  </w:t>
      </w:r>
      <w:r>
        <w:rPr>
          <w:rFonts w:ascii="宋体" w:hAnsi="宋体" w:cs="宋体"/>
          <w:color w:val="auto"/>
          <w:szCs w:val="21"/>
        </w:rPr>
        <w:sym w:font="Wingdings" w:char="00A8"/>
      </w:r>
      <w:r>
        <w:rPr>
          <w:rFonts w:hint="eastAsia" w:ascii="宋体" w:hAnsi="宋体" w:cs="宋体"/>
          <w:color w:val="auto"/>
          <w:szCs w:val="21"/>
        </w:rPr>
        <w:t>否</w:t>
      </w:r>
    </w:p>
    <w:p w14:paraId="514D3F52">
      <w:pPr>
        <w:pStyle w:val="17"/>
        <w:ind w:firstLine="420"/>
        <w:rPr>
          <w:rFonts w:ascii="宋体" w:hAnsi="宋体" w:eastAsia="宋体" w:cs="宋体"/>
          <w:color w:val="auto"/>
          <w:sz w:val="21"/>
        </w:rPr>
      </w:pPr>
      <w:r>
        <w:rPr>
          <w:rFonts w:hint="eastAsia" w:ascii="宋体" w:hAnsi="宋体" w:eastAsia="宋体" w:cs="宋体"/>
          <w:color w:val="auto"/>
          <w:sz w:val="21"/>
        </w:rPr>
        <w:t xml:space="preserve"> （</w:t>
      </w:r>
      <w:r>
        <w:rPr>
          <w:rFonts w:ascii="宋体" w:hAnsi="宋体" w:eastAsia="宋体" w:cs="宋体"/>
          <w:color w:val="auto"/>
          <w:sz w:val="21"/>
        </w:rPr>
        <w:t>1</w:t>
      </w:r>
      <w:r>
        <w:rPr>
          <w:rFonts w:hint="eastAsia" w:ascii="宋体" w:hAnsi="宋体" w:eastAsia="宋体" w:cs="宋体"/>
          <w:color w:val="auto"/>
          <w:sz w:val="21"/>
        </w:rPr>
        <w:t>）收取履约保证金金额：</w:t>
      </w:r>
      <w:r>
        <w:rPr>
          <w:rFonts w:hint="eastAsia" w:ascii="宋体" w:hAnsi="宋体" w:eastAsia="宋体" w:cs="宋体"/>
          <w:color w:val="auto"/>
          <w:kern w:val="2"/>
          <w:sz w:val="21"/>
          <w:szCs w:val="24"/>
        </w:rPr>
        <w:t>按成交金额的5%收取。</w:t>
      </w:r>
      <w:r>
        <w:rPr>
          <w:rFonts w:hint="eastAsia" w:ascii="宋体" w:hAnsi="宋体" w:eastAsia="宋体" w:cs="宋体"/>
          <w:color w:val="auto"/>
          <w:sz w:val="21"/>
        </w:rPr>
        <w:t>收取履约保证金形式：</w:t>
      </w:r>
      <w:r>
        <w:rPr>
          <w:rFonts w:hint="eastAsia" w:ascii="宋体" w:hAnsi="宋体" w:eastAsia="宋体" w:cs="宋体"/>
          <w:color w:val="auto"/>
          <w:kern w:val="2"/>
          <w:sz w:val="21"/>
          <w:szCs w:val="24"/>
        </w:rPr>
        <w:t>银行转账、支票、汇票、本票或者金融机构、担保机构出具的保函（含电子保函）等非现金方式。（是否要这个条款？政府采购合同中是有这个条款的）</w:t>
      </w:r>
    </w:p>
    <w:p w14:paraId="564CC42D">
      <w:pPr>
        <w:snapToGrid w:val="0"/>
        <w:spacing w:line="340" w:lineRule="exact"/>
        <w:ind w:firstLine="420" w:firstLineChars="200"/>
        <w:rPr>
          <w:rFonts w:ascii="宋体" w:hAnsi="宋体" w:cs="宋体"/>
          <w:color w:val="auto"/>
          <w:kern w:val="0"/>
          <w:szCs w:val="21"/>
        </w:rPr>
      </w:pPr>
      <w:r>
        <w:rPr>
          <w:rFonts w:hint="eastAsia" w:ascii="宋体" w:hAnsi="宋体" w:cs="宋体"/>
          <w:color w:val="auto"/>
        </w:rPr>
        <w:t xml:space="preserve"> </w:t>
      </w:r>
      <w:r>
        <w:rPr>
          <w:rFonts w:hint="eastAsia" w:ascii="宋体" w:hAnsi="宋体" w:cs="宋体"/>
          <w:color w:val="auto"/>
          <w:szCs w:val="21"/>
        </w:rPr>
        <w:t>（</w:t>
      </w:r>
      <w:r>
        <w:rPr>
          <w:rFonts w:ascii="宋体" w:hAnsi="宋体" w:cs="宋体"/>
          <w:color w:val="auto"/>
        </w:rPr>
        <w:t>2</w:t>
      </w:r>
      <w:r>
        <w:rPr>
          <w:rFonts w:hint="eastAsia" w:ascii="宋体" w:hAnsi="宋体" w:cs="宋体"/>
          <w:color w:val="auto"/>
          <w:szCs w:val="21"/>
        </w:rPr>
        <w:t>）</w:t>
      </w:r>
      <w:r>
        <w:rPr>
          <w:rFonts w:hint="eastAsia" w:ascii="宋体" w:hAnsi="宋体" w:cs="Courier New"/>
          <w:color w:val="auto"/>
          <w:szCs w:val="21"/>
        </w:rPr>
        <w:t>履约保证金递交方式及相关要求</w:t>
      </w:r>
    </w:p>
    <w:p w14:paraId="714813C4">
      <w:pPr>
        <w:snapToGrid w:val="0"/>
        <w:spacing w:line="340" w:lineRule="exact"/>
        <w:ind w:firstLine="420" w:firstLineChars="200"/>
        <w:rPr>
          <w:rFonts w:ascii="宋体" w:hAnsi="宋体"/>
          <w:color w:val="auto"/>
          <w:szCs w:val="21"/>
        </w:rPr>
      </w:pPr>
      <w:r>
        <w:rPr>
          <w:rFonts w:ascii="宋体" w:hAnsi="宋体" w:cs="Courier New"/>
          <w:color w:val="auto"/>
          <w:szCs w:val="21"/>
        </w:rPr>
        <w:t xml:space="preserve"> </w:t>
      </w:r>
      <w:r>
        <w:rPr>
          <w:rFonts w:hint="eastAsia" w:ascii="宋体" w:hAnsi="宋体" w:cs="Courier New"/>
          <w:color w:val="auto"/>
          <w:szCs w:val="21"/>
        </w:rPr>
        <w:t>①履约保证金采用银行转账交纳方式的</w:t>
      </w:r>
      <w:r>
        <w:rPr>
          <w:rFonts w:hint="eastAsia" w:ascii="宋体" w:hAnsi="宋体"/>
          <w:color w:val="auto"/>
          <w:szCs w:val="21"/>
        </w:rPr>
        <w:t>，乙方在签订合同前交至甲方指定账户并且到账。</w:t>
      </w:r>
    </w:p>
    <w:p w14:paraId="1250A859">
      <w:pPr>
        <w:snapToGrid w:val="0"/>
        <w:spacing w:line="340" w:lineRule="exact"/>
        <w:ind w:firstLine="420" w:firstLineChars="200"/>
        <w:rPr>
          <w:rFonts w:ascii="宋体" w:hAnsi="宋体"/>
          <w:color w:val="auto"/>
          <w:szCs w:val="21"/>
        </w:rPr>
      </w:pPr>
      <w:r>
        <w:rPr>
          <w:rFonts w:ascii="宋体" w:hAnsi="宋体" w:cs="Courier New"/>
          <w:color w:val="auto"/>
          <w:szCs w:val="21"/>
        </w:rPr>
        <w:t xml:space="preserve"> </w:t>
      </w:r>
      <w:r>
        <w:rPr>
          <w:rFonts w:hint="eastAsia" w:ascii="宋体" w:hAnsi="宋体" w:cs="Courier New"/>
          <w:color w:val="auto"/>
          <w:szCs w:val="21"/>
        </w:rPr>
        <w:t>②履约保证金采用支票</w:t>
      </w:r>
      <w:r>
        <w:rPr>
          <w:rFonts w:hint="eastAsia" w:ascii="宋体" w:hAnsi="宋体"/>
          <w:color w:val="auto"/>
          <w:szCs w:val="21"/>
        </w:rPr>
        <w:t>、汇票或本票交纳方式的，乙方在签订合同前，向甲方提交支票、汇票或本票原件。</w:t>
      </w:r>
    </w:p>
    <w:p w14:paraId="2DFF269B">
      <w:pPr>
        <w:snapToGrid w:val="0"/>
        <w:spacing w:line="340" w:lineRule="exact"/>
        <w:ind w:firstLine="420" w:firstLineChars="200"/>
        <w:rPr>
          <w:rFonts w:ascii="宋体" w:hAnsi="宋体"/>
          <w:color w:val="auto"/>
          <w:szCs w:val="21"/>
        </w:rPr>
      </w:pPr>
      <w:r>
        <w:rPr>
          <w:rFonts w:ascii="宋体" w:hAnsi="宋体" w:cs="Courier New"/>
          <w:color w:val="auto"/>
          <w:szCs w:val="21"/>
        </w:rPr>
        <w:t xml:space="preserve"> </w:t>
      </w:r>
      <w:r>
        <w:rPr>
          <w:rFonts w:hint="eastAsia" w:ascii="宋体" w:hAnsi="宋体" w:cs="Courier New"/>
          <w:color w:val="auto"/>
          <w:szCs w:val="21"/>
        </w:rPr>
        <w:t>③履约保证金采用银行</w:t>
      </w:r>
      <w:r>
        <w:rPr>
          <w:rFonts w:hint="eastAsia" w:ascii="宋体" w:hAnsi="宋体"/>
          <w:color w:val="auto"/>
          <w:szCs w:val="21"/>
        </w:rPr>
        <w:t>、保险机构出具的保函（含电子保函）交纳方式的，乙方在签订合同前，向甲方提交保函原件。</w:t>
      </w:r>
    </w:p>
    <w:p w14:paraId="28C652F5">
      <w:pPr>
        <w:snapToGrid w:val="0"/>
        <w:spacing w:line="340" w:lineRule="exact"/>
        <w:ind w:firstLine="420" w:firstLineChars="200"/>
        <w:rPr>
          <w:rFonts w:ascii="宋体" w:hAnsi="宋体"/>
          <w:color w:val="auto"/>
          <w:szCs w:val="21"/>
        </w:rPr>
      </w:pPr>
      <w:r>
        <w:rPr>
          <w:rFonts w:ascii="宋体" w:hAnsi="宋体" w:cs="Courier New"/>
          <w:color w:val="auto"/>
          <w:szCs w:val="21"/>
        </w:rPr>
        <w:t xml:space="preserve"> </w:t>
      </w:r>
      <w:r>
        <w:rPr>
          <w:rFonts w:hint="eastAsia" w:ascii="宋体" w:hAnsi="宋体" w:cs="Courier New"/>
          <w:color w:val="auto"/>
          <w:szCs w:val="21"/>
        </w:rPr>
        <w:t>④履约保证金指定账户</w:t>
      </w:r>
    </w:p>
    <w:p w14:paraId="532E9C98">
      <w:pPr>
        <w:snapToGrid w:val="0"/>
        <w:spacing w:line="340" w:lineRule="exact"/>
        <w:ind w:firstLine="420" w:firstLineChars="200"/>
        <w:rPr>
          <w:rFonts w:ascii="宋体" w:hAnsi="宋体"/>
          <w:color w:val="auto"/>
          <w:szCs w:val="21"/>
        </w:rPr>
      </w:pPr>
      <w:r>
        <w:rPr>
          <w:rFonts w:hint="eastAsia" w:ascii="宋体" w:hAnsi="宋体" w:cs="Courier New"/>
          <w:color w:val="auto"/>
          <w:szCs w:val="21"/>
        </w:rPr>
        <w:t>开户名称</w:t>
      </w:r>
      <w:r>
        <w:rPr>
          <w:rFonts w:hint="eastAsia" w:ascii="宋体" w:hAnsi="宋体"/>
          <w:color w:val="auto"/>
          <w:szCs w:val="21"/>
        </w:rPr>
        <w:t>：</w:t>
      </w:r>
      <w:r>
        <w:rPr>
          <w:rFonts w:hint="eastAsia" w:ascii="宋体" w:hAnsi="宋体"/>
          <w:color w:val="auto"/>
          <w:kern w:val="0"/>
          <w:szCs w:val="21"/>
          <w:u w:val="single"/>
        </w:rPr>
        <w:t xml:space="preserve"> 桂林电子科技大学            </w:t>
      </w:r>
      <w:r>
        <w:rPr>
          <w:rFonts w:hint="eastAsia" w:ascii="宋体" w:hAnsi="宋体" w:cs="Arial"/>
          <w:color w:val="auto"/>
          <w:szCs w:val="21"/>
        </w:rPr>
        <w:t>；</w:t>
      </w:r>
    </w:p>
    <w:p w14:paraId="54C1B940">
      <w:pPr>
        <w:snapToGrid w:val="0"/>
        <w:spacing w:line="340" w:lineRule="exact"/>
        <w:ind w:firstLine="420" w:firstLineChars="200"/>
        <w:rPr>
          <w:rFonts w:ascii="宋体" w:hAnsi="宋体"/>
          <w:color w:val="auto"/>
          <w:szCs w:val="21"/>
        </w:rPr>
      </w:pPr>
      <w:r>
        <w:rPr>
          <w:rFonts w:hint="eastAsia" w:ascii="宋体" w:hAnsi="宋体" w:cs="Courier New"/>
          <w:color w:val="auto"/>
          <w:szCs w:val="21"/>
        </w:rPr>
        <w:t>开户银行</w:t>
      </w:r>
      <w:r>
        <w:rPr>
          <w:rFonts w:hint="eastAsia" w:ascii="宋体" w:hAnsi="宋体"/>
          <w:color w:val="auto"/>
          <w:szCs w:val="21"/>
        </w:rPr>
        <w:t>：</w:t>
      </w:r>
      <w:r>
        <w:rPr>
          <w:rFonts w:hint="eastAsia" w:ascii="宋体" w:hAnsi="宋体"/>
          <w:color w:val="auto"/>
          <w:kern w:val="0"/>
          <w:szCs w:val="21"/>
          <w:u w:val="single"/>
        </w:rPr>
        <w:t xml:space="preserve"> </w:t>
      </w:r>
      <w:r>
        <w:rPr>
          <w:rFonts w:hint="eastAsia" w:ascii="宋体" w:hAnsi="宋体"/>
          <w:color w:val="auto"/>
          <w:kern w:val="0"/>
          <w:szCs w:val="21"/>
          <w:u w:val="single"/>
          <w:lang w:eastAsia="zh-CN"/>
        </w:rPr>
        <w:t>工商银行桂林市屏风支行</w:t>
      </w:r>
      <w:r>
        <w:rPr>
          <w:rFonts w:hint="eastAsia" w:ascii="宋体" w:hAnsi="宋体"/>
          <w:color w:val="auto"/>
          <w:kern w:val="0"/>
          <w:szCs w:val="21"/>
          <w:u w:val="single"/>
        </w:rPr>
        <w:t xml:space="preserve">          </w:t>
      </w:r>
      <w:r>
        <w:rPr>
          <w:rFonts w:hint="eastAsia" w:ascii="宋体" w:hAnsi="宋体" w:cs="Arial"/>
          <w:color w:val="auto"/>
          <w:szCs w:val="21"/>
        </w:rPr>
        <w:t>；</w:t>
      </w:r>
    </w:p>
    <w:p w14:paraId="6F8DC820">
      <w:pPr>
        <w:snapToGrid w:val="0"/>
        <w:spacing w:line="340" w:lineRule="exact"/>
        <w:ind w:firstLine="420" w:firstLineChars="200"/>
        <w:rPr>
          <w:rFonts w:ascii="宋体" w:hAnsi="宋体"/>
          <w:color w:val="auto"/>
          <w:szCs w:val="21"/>
        </w:rPr>
      </w:pPr>
      <w:r>
        <w:rPr>
          <w:rFonts w:hint="eastAsia" w:ascii="宋体" w:hAnsi="宋体" w:cs="Courier New"/>
          <w:color w:val="auto"/>
          <w:szCs w:val="21"/>
        </w:rPr>
        <w:t>银行账号</w:t>
      </w:r>
      <w:r>
        <w:rPr>
          <w:rFonts w:hint="eastAsia" w:ascii="宋体" w:hAnsi="宋体"/>
          <w:color w:val="auto"/>
          <w:szCs w:val="21"/>
        </w:rPr>
        <w:t>：</w:t>
      </w:r>
      <w:r>
        <w:rPr>
          <w:rFonts w:hint="eastAsia" w:ascii="宋体" w:hAnsi="宋体"/>
          <w:color w:val="auto"/>
          <w:kern w:val="0"/>
          <w:szCs w:val="21"/>
          <w:u w:val="single"/>
        </w:rPr>
        <w:t xml:space="preserve"> 2103 2152 0924 9017 694     </w:t>
      </w:r>
      <w:r>
        <w:rPr>
          <w:rFonts w:hint="eastAsia" w:ascii="宋体" w:hAnsi="宋体" w:cs="Arial"/>
          <w:color w:val="auto"/>
          <w:szCs w:val="21"/>
        </w:rPr>
        <w:t>。</w:t>
      </w:r>
    </w:p>
    <w:p w14:paraId="50D2CE17">
      <w:pPr>
        <w:snapToGrid w:val="0"/>
        <w:spacing w:line="340" w:lineRule="exact"/>
        <w:ind w:firstLine="420" w:firstLineChars="200"/>
        <w:rPr>
          <w:rFonts w:ascii="宋体" w:hAnsi="宋体" w:cs="宋体"/>
          <w:color w:val="auto"/>
          <w:kern w:val="0"/>
          <w:szCs w:val="21"/>
        </w:rPr>
      </w:pPr>
      <w:r>
        <w:rPr>
          <w:rFonts w:hint="eastAsia" w:ascii="宋体" w:hAnsi="宋体" w:cs="宋体"/>
          <w:color w:val="auto"/>
          <w:szCs w:val="21"/>
        </w:rPr>
        <w:t>（</w:t>
      </w:r>
      <w:r>
        <w:rPr>
          <w:rFonts w:ascii="宋体" w:hAnsi="宋体" w:cs="宋体"/>
          <w:color w:val="auto"/>
        </w:rPr>
        <w:t>3</w:t>
      </w:r>
      <w:r>
        <w:rPr>
          <w:rFonts w:hint="eastAsia" w:ascii="宋体" w:hAnsi="宋体" w:cs="宋体"/>
          <w:color w:val="auto"/>
          <w:szCs w:val="21"/>
        </w:rPr>
        <w:t>）</w:t>
      </w:r>
      <w:r>
        <w:rPr>
          <w:rFonts w:hint="eastAsia" w:ascii="宋体" w:hAnsi="宋体"/>
          <w:color w:val="auto"/>
          <w:szCs w:val="21"/>
        </w:rPr>
        <w:t>履约保证金退付方式、时间及条件</w:t>
      </w:r>
      <w:r>
        <w:rPr>
          <w:rFonts w:hint="eastAsia" w:ascii="宋体" w:hAnsi="宋体" w:cs="宋体"/>
          <w:color w:val="auto"/>
          <w:kern w:val="0"/>
          <w:szCs w:val="21"/>
        </w:rPr>
        <w:t>：</w:t>
      </w:r>
    </w:p>
    <w:p w14:paraId="7D1FD1CC">
      <w:pPr>
        <w:snapToGrid w:val="0"/>
        <w:spacing w:line="340" w:lineRule="exact"/>
        <w:ind w:firstLine="420" w:firstLineChars="200"/>
        <w:rPr>
          <w:rFonts w:ascii="宋体" w:hAnsi="宋体"/>
          <w:color w:val="auto"/>
          <w:szCs w:val="21"/>
          <w:u w:val="single"/>
        </w:rPr>
      </w:pPr>
      <w:r>
        <w:rPr>
          <w:rFonts w:hint="eastAsia" w:ascii="宋体" w:hAnsi="宋体" w:cs="Courier New"/>
          <w:color w:val="auto"/>
          <w:szCs w:val="21"/>
        </w:rPr>
        <w:t>①</w:t>
      </w:r>
      <w:r>
        <w:rPr>
          <w:rFonts w:hint="eastAsia" w:ascii="宋体" w:hAnsi="宋体"/>
          <w:color w:val="auto"/>
          <w:szCs w:val="21"/>
        </w:rPr>
        <w:t>乙方</w:t>
      </w:r>
      <w:r>
        <w:rPr>
          <w:rFonts w:hint="eastAsia" w:ascii="宋体" w:hAnsi="宋体" w:cs="宋体"/>
          <w:color w:val="auto"/>
          <w:kern w:val="0"/>
          <w:szCs w:val="21"/>
        </w:rPr>
        <w:t>履行完合同约定的权利义务（包括免费保修服务等）事项后7个工作日内，</w:t>
      </w:r>
      <w:r>
        <w:rPr>
          <w:rFonts w:hint="eastAsia" w:ascii="宋体" w:hAnsi="宋体"/>
          <w:color w:val="auto"/>
          <w:szCs w:val="21"/>
        </w:rPr>
        <w:t>由乙方向履约保证金收取单位办理退还手续（不计利息）。</w:t>
      </w:r>
    </w:p>
    <w:p w14:paraId="2571D93B">
      <w:pPr>
        <w:snapToGrid w:val="0"/>
        <w:spacing w:line="340" w:lineRule="exact"/>
        <w:ind w:firstLine="420" w:firstLineChars="200"/>
        <w:rPr>
          <w:rFonts w:ascii="宋体" w:hAnsi="宋体" w:cs="宋体"/>
          <w:color w:val="auto"/>
          <w:kern w:val="0"/>
          <w:szCs w:val="21"/>
        </w:rPr>
      </w:pPr>
      <w:r>
        <w:rPr>
          <w:rFonts w:hint="eastAsia" w:ascii="宋体" w:hAnsi="宋体" w:cs="Courier New"/>
          <w:color w:val="auto"/>
          <w:szCs w:val="21"/>
        </w:rPr>
        <w:t>②</w:t>
      </w:r>
      <w:r>
        <w:rPr>
          <w:rFonts w:hint="eastAsia" w:ascii="宋体" w:hAnsi="宋体"/>
          <w:color w:val="auto"/>
          <w:szCs w:val="21"/>
        </w:rPr>
        <w:t>乙方</w:t>
      </w:r>
      <w:r>
        <w:rPr>
          <w:rFonts w:hint="eastAsia" w:ascii="宋体" w:hAnsi="宋体" w:cs="Courier New"/>
          <w:color w:val="auto"/>
          <w:szCs w:val="21"/>
        </w:rPr>
        <w:t>在签订合同后存在违约情形的</w:t>
      </w:r>
      <w:r>
        <w:rPr>
          <w:rFonts w:hint="eastAsia" w:ascii="宋体" w:hAnsi="宋体" w:cs="宋体"/>
          <w:color w:val="auto"/>
          <w:kern w:val="0"/>
          <w:szCs w:val="21"/>
        </w:rPr>
        <w:t>，履约保证金或保函原件不予退还。</w:t>
      </w:r>
      <w:r>
        <w:rPr>
          <w:rFonts w:hint="eastAsia" w:ascii="宋体" w:hAnsi="宋体"/>
          <w:color w:val="auto"/>
          <w:szCs w:val="21"/>
        </w:rPr>
        <w:t>保函形式的甲方按相关规定由出具保函的银行</w:t>
      </w:r>
      <w:r>
        <w:rPr>
          <w:rFonts w:hint="eastAsia" w:ascii="宋体" w:hAnsi="宋体" w:cs="宋体"/>
          <w:color w:val="auto"/>
          <w:kern w:val="0"/>
          <w:szCs w:val="21"/>
        </w:rPr>
        <w:t>、保险机构承担供应商违约赔付责任，履约保证金不足以赔偿损失的，按实际损失赔偿。</w:t>
      </w:r>
    </w:p>
    <w:p w14:paraId="22BC24B0">
      <w:pPr>
        <w:snapToGrid w:val="0"/>
        <w:spacing w:line="340" w:lineRule="exact"/>
        <w:ind w:firstLine="420" w:firstLineChars="200"/>
        <w:rPr>
          <w:rFonts w:ascii="宋体" w:hAnsi="宋体"/>
          <w:color w:val="auto"/>
          <w:szCs w:val="21"/>
          <w:u w:val="single"/>
        </w:rPr>
      </w:pPr>
      <w:r>
        <w:rPr>
          <w:rFonts w:hint="eastAsia" w:ascii="宋体" w:hAnsi="宋体" w:cs="Courier New"/>
          <w:color w:val="auto"/>
          <w:szCs w:val="21"/>
        </w:rPr>
        <w:t>③</w:t>
      </w:r>
      <w:r>
        <w:rPr>
          <w:rFonts w:hint="eastAsia" w:ascii="宋体" w:hAnsi="宋体"/>
          <w:color w:val="auto"/>
          <w:szCs w:val="21"/>
        </w:rPr>
        <w:t>在履约保证金退还日期前，若乙方的开户名称、开户银行、账号有变动的，请以书面形式通知履约保证金收取单位，否则由此产生的后果由乙方自负。</w:t>
      </w:r>
    </w:p>
    <w:p w14:paraId="3907FE83">
      <w:pPr>
        <w:snapToGrid w:val="0"/>
        <w:spacing w:line="340" w:lineRule="exact"/>
        <w:ind w:firstLine="420" w:firstLineChars="200"/>
        <w:rPr>
          <w:rFonts w:ascii="宋体" w:hAnsi="宋体"/>
          <w:color w:val="auto"/>
          <w:szCs w:val="21"/>
        </w:rPr>
      </w:pPr>
      <w:r>
        <w:rPr>
          <w:rFonts w:hint="eastAsia" w:ascii="宋体" w:hAnsi="宋体" w:cs="Courier New"/>
          <w:color w:val="auto"/>
          <w:szCs w:val="21"/>
        </w:rPr>
        <w:t>④</w:t>
      </w:r>
      <w:r>
        <w:rPr>
          <w:rFonts w:hint="eastAsia" w:ascii="宋体" w:hAnsi="宋体"/>
          <w:color w:val="auto"/>
          <w:szCs w:val="21"/>
        </w:rPr>
        <w:t>履约保证金不足额缴纳的，或银行、保险机构出具的保函额度不足的或者保函有效期低于合同履行期限（即签订采购合同之日起至履行完合同约定的权利及义务之日止）的，不予签订合同。采用银行、保险机构出具的保函的，必须为无条件保函，否则不予签订合同。</w:t>
      </w:r>
    </w:p>
    <w:p w14:paraId="09071AB7">
      <w:pPr>
        <w:tabs>
          <w:tab w:val="left" w:pos="900"/>
        </w:tabs>
        <w:snapToGrid w:val="0"/>
        <w:spacing w:line="340" w:lineRule="exact"/>
        <w:ind w:firstLine="422" w:firstLineChars="200"/>
        <w:rPr>
          <w:rFonts w:ascii="宋体" w:hAnsi="宋体"/>
          <w:b/>
          <w:color w:val="auto"/>
          <w:szCs w:val="21"/>
        </w:rPr>
      </w:pPr>
      <w:r>
        <w:rPr>
          <w:rFonts w:hint="eastAsia" w:ascii="宋体" w:hAnsi="宋体"/>
          <w:b/>
          <w:color w:val="auto"/>
          <w:szCs w:val="21"/>
        </w:rPr>
        <w:t>4</w:t>
      </w:r>
      <w:r>
        <w:rPr>
          <w:rFonts w:ascii="宋体" w:hAnsi="宋体"/>
          <w:b/>
          <w:color w:val="auto"/>
          <w:szCs w:val="21"/>
        </w:rPr>
        <w:t>.</w:t>
      </w:r>
      <w:r>
        <w:rPr>
          <w:rFonts w:hint="eastAsia" w:ascii="宋体" w:hAnsi="宋体"/>
          <w:b/>
          <w:color w:val="auto"/>
          <w:szCs w:val="21"/>
        </w:rPr>
        <w:t>权利保证</w:t>
      </w:r>
    </w:p>
    <w:p w14:paraId="7D017A38">
      <w:pPr>
        <w:snapToGrid w:val="0"/>
        <w:spacing w:line="340" w:lineRule="exact"/>
        <w:ind w:firstLine="420" w:firstLineChars="200"/>
        <w:rPr>
          <w:rFonts w:ascii="宋体" w:hAnsi="宋体"/>
          <w:color w:val="auto"/>
          <w:szCs w:val="21"/>
        </w:rPr>
      </w:pPr>
      <w:r>
        <w:rPr>
          <w:rFonts w:hint="eastAsia" w:ascii="宋体" w:hAnsi="宋体"/>
          <w:color w:val="auto"/>
          <w:szCs w:val="21"/>
        </w:rPr>
        <w:t>4.1.乙方应保证所提供服务在使用时不会侵犯任何第三方的专利权、商标权、工业设计权等知识产权及其他合法权利，且所有权、处分权等没有受到任何限制。</w:t>
      </w:r>
    </w:p>
    <w:p w14:paraId="0D2AA64E">
      <w:pPr>
        <w:snapToGrid w:val="0"/>
        <w:spacing w:line="340" w:lineRule="exact"/>
        <w:ind w:firstLine="420" w:firstLineChars="200"/>
        <w:rPr>
          <w:rFonts w:ascii="宋体" w:hAnsi="宋体"/>
          <w:color w:val="auto"/>
          <w:szCs w:val="21"/>
        </w:rPr>
      </w:pPr>
      <w:r>
        <w:rPr>
          <w:rFonts w:hint="eastAsia" w:ascii="宋体" w:hAnsi="宋体"/>
          <w:color w:val="auto"/>
          <w:szCs w:val="21"/>
        </w:rPr>
        <w:t>4.2.没有甲方事先书面同意，乙方不得将由甲方提供的有关合同或者任何合同条文、规格、计划、图纸、样品或者资料提供给与履行本合同无关的任何其他人。即使向履行本合同有关的人员提供，也应注意保密并限于履行合同的必需范围。乙方的保密义务持续有效，不因为本合同履行终止、解除或者无效而解除。</w:t>
      </w:r>
    </w:p>
    <w:p w14:paraId="563D878B">
      <w:pPr>
        <w:snapToGrid w:val="0"/>
        <w:spacing w:line="340" w:lineRule="exact"/>
        <w:ind w:firstLine="310" w:firstLineChars="147"/>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5 . 调试和验收</w:t>
      </w:r>
    </w:p>
    <w:p w14:paraId="3F229421">
      <w:pPr>
        <w:snapToGrid w:val="0"/>
        <w:spacing w:line="340" w:lineRule="exact"/>
        <w:ind w:firstLine="315" w:firstLineChars="150"/>
        <w:rPr>
          <w:rFonts w:asciiTheme="minorEastAsia" w:hAnsiTheme="minorEastAsia" w:eastAsiaTheme="minorEastAsia"/>
          <w:color w:val="auto"/>
          <w:szCs w:val="21"/>
        </w:rPr>
      </w:pPr>
      <w:r>
        <w:rPr>
          <w:rFonts w:hint="eastAsia" w:asciiTheme="minorEastAsia" w:hAnsiTheme="minorEastAsia" w:eastAsiaTheme="minorEastAsia"/>
          <w:color w:val="auto"/>
          <w:szCs w:val="21"/>
        </w:rPr>
        <w:t>5.1.甲方对乙方提供的服务依据</w:t>
      </w:r>
      <w:r>
        <w:rPr>
          <w:rFonts w:hint="eastAsia" w:hAnsi="宋体"/>
          <w:color w:val="auto"/>
        </w:rPr>
        <w:t>采购文件</w:t>
      </w:r>
      <w:r>
        <w:rPr>
          <w:rFonts w:hint="eastAsia" w:asciiTheme="minorEastAsia" w:hAnsiTheme="minorEastAsia" w:eastAsiaTheme="minorEastAsia"/>
          <w:color w:val="auto"/>
          <w:szCs w:val="21"/>
        </w:rPr>
        <w:t>上的技术要求和国家有关质量标准进行现场初步验收，符合</w:t>
      </w:r>
      <w:r>
        <w:rPr>
          <w:rFonts w:hint="eastAsia" w:hAnsi="宋体"/>
          <w:color w:val="auto"/>
        </w:rPr>
        <w:t>采购文件</w:t>
      </w:r>
      <w:r>
        <w:rPr>
          <w:rFonts w:hint="eastAsia" w:asciiTheme="minorEastAsia" w:hAnsiTheme="minorEastAsia" w:eastAsiaTheme="minorEastAsia"/>
          <w:color w:val="auto"/>
          <w:szCs w:val="21"/>
        </w:rPr>
        <w:t>技术要求的，给予签收，初步验收不合格的不予签收。</w:t>
      </w:r>
    </w:p>
    <w:p w14:paraId="08AF1410">
      <w:pPr>
        <w:snapToGrid w:val="0"/>
        <w:spacing w:line="340" w:lineRule="exact"/>
        <w:ind w:firstLine="315" w:firstLineChars="150"/>
        <w:rPr>
          <w:rFonts w:ascii="宋体" w:hAnsi="宋体"/>
          <w:color w:val="auto"/>
          <w:szCs w:val="21"/>
        </w:rPr>
      </w:pPr>
      <w:r>
        <w:rPr>
          <w:rFonts w:hint="eastAsia" w:ascii="宋体" w:hAnsi="宋体"/>
          <w:color w:val="auto"/>
          <w:szCs w:val="21"/>
        </w:rPr>
        <w:t>5.2.甲方应当在乙方完成服务后，由甲方确认服务满足验收条件后</w:t>
      </w:r>
      <w:r>
        <w:rPr>
          <w:rFonts w:hint="eastAsia" w:ascii="宋体" w:hAnsi="宋体"/>
          <w:color w:val="auto"/>
          <w:szCs w:val="21"/>
          <w:u w:val="single"/>
        </w:rPr>
        <w:t>7个工作日</w:t>
      </w:r>
      <w:r>
        <w:rPr>
          <w:rFonts w:hint="eastAsia" w:ascii="宋体" w:hAnsi="宋体"/>
          <w:color w:val="auto"/>
          <w:szCs w:val="21"/>
        </w:rPr>
        <w:t>内进行验收，逾期不验收的，乙方可视同验收合格。验收时乙方必须在现场，验收完毕后作出验收结果报告，验收合格后由甲乙双方签署验收报告单，甲乙双方各执一份，验收费用由乙方负责。</w:t>
      </w:r>
    </w:p>
    <w:p w14:paraId="52912D5D">
      <w:pPr>
        <w:snapToGrid w:val="0"/>
        <w:spacing w:line="340" w:lineRule="exact"/>
        <w:ind w:firstLine="315" w:firstLineChars="150"/>
        <w:rPr>
          <w:rFonts w:ascii="宋体" w:hAnsi="宋体"/>
          <w:color w:val="auto"/>
          <w:szCs w:val="21"/>
        </w:rPr>
      </w:pPr>
      <w:r>
        <w:rPr>
          <w:rFonts w:hint="eastAsia" w:ascii="宋体" w:hAnsi="宋体"/>
          <w:color w:val="auto"/>
          <w:szCs w:val="21"/>
        </w:rPr>
        <w:t>5.</w:t>
      </w:r>
      <w:r>
        <w:rPr>
          <w:rFonts w:ascii="宋体" w:hAnsi="宋体"/>
          <w:color w:val="auto"/>
          <w:szCs w:val="21"/>
        </w:rPr>
        <w:t>3</w:t>
      </w:r>
      <w:r>
        <w:rPr>
          <w:rFonts w:hint="eastAsia" w:ascii="宋体" w:hAnsi="宋体"/>
          <w:color w:val="auto"/>
          <w:szCs w:val="21"/>
        </w:rPr>
        <w:t>.甲方在初步验收或者最终验收过程中如发现乙方提供的服务成果不满足响应文件及本合同规定的，可暂缓向乙方付款，直到乙方及时完善并提交相应的服务成果且经甲方验收合格后，方可办理付款。</w:t>
      </w:r>
    </w:p>
    <w:p w14:paraId="5E05CFA3">
      <w:pPr>
        <w:snapToGrid w:val="0"/>
        <w:spacing w:line="340" w:lineRule="exact"/>
        <w:ind w:firstLine="420" w:firstLineChars="200"/>
        <w:rPr>
          <w:rFonts w:ascii="宋体" w:hAnsi="宋体"/>
          <w:color w:val="auto"/>
          <w:szCs w:val="21"/>
        </w:rPr>
      </w:pPr>
      <w:r>
        <w:rPr>
          <w:rFonts w:hint="eastAsia" w:ascii="宋体" w:hAnsi="宋体"/>
          <w:color w:val="auto"/>
          <w:szCs w:val="21"/>
        </w:rPr>
        <w:t>5.</w:t>
      </w:r>
      <w:r>
        <w:rPr>
          <w:rFonts w:ascii="宋体" w:hAnsi="宋体"/>
          <w:color w:val="auto"/>
          <w:szCs w:val="21"/>
        </w:rPr>
        <w:t>4</w:t>
      </w:r>
      <w:r>
        <w:rPr>
          <w:rFonts w:hint="eastAsia" w:ascii="宋体" w:hAnsi="宋体"/>
          <w:color w:val="auto"/>
          <w:szCs w:val="21"/>
        </w:rPr>
        <w:t>.甲方在验收过程中发现乙方有违约问题，可暂缓资金结算，待违约问题解决后，方可办理资金结算事宜。</w:t>
      </w:r>
    </w:p>
    <w:p w14:paraId="0F7CE6C3">
      <w:pPr>
        <w:snapToGrid w:val="0"/>
        <w:spacing w:line="340" w:lineRule="exact"/>
        <w:ind w:firstLine="420" w:firstLineChars="200"/>
        <w:rPr>
          <w:rFonts w:ascii="宋体" w:hAnsi="宋体"/>
          <w:color w:val="auto"/>
          <w:szCs w:val="21"/>
        </w:rPr>
      </w:pPr>
      <w:r>
        <w:rPr>
          <w:rFonts w:hint="eastAsia" w:ascii="宋体" w:hAnsi="宋体"/>
          <w:color w:val="auto"/>
          <w:szCs w:val="21"/>
        </w:rPr>
        <w:t>5.</w:t>
      </w:r>
      <w:r>
        <w:rPr>
          <w:rFonts w:ascii="宋体" w:hAnsi="宋体"/>
          <w:color w:val="auto"/>
          <w:szCs w:val="21"/>
        </w:rPr>
        <w:t>5</w:t>
      </w:r>
      <w:r>
        <w:rPr>
          <w:rFonts w:hint="eastAsia" w:ascii="宋体" w:hAnsi="宋体"/>
          <w:color w:val="auto"/>
          <w:szCs w:val="21"/>
        </w:rPr>
        <w:t>.甲方对验收有异议的，在验收后5个工作日内以书面形式向乙方提出，乙方应自收到甲方书面异议后</w:t>
      </w:r>
      <w:r>
        <w:rPr>
          <w:rFonts w:hint="eastAsia" w:ascii="宋体" w:hAnsi="宋体"/>
          <w:color w:val="auto"/>
          <w:szCs w:val="21"/>
          <w:u w:val="single"/>
        </w:rPr>
        <w:t xml:space="preserve"> 10</w:t>
      </w:r>
      <w:r>
        <w:rPr>
          <w:rFonts w:hint="eastAsia" w:ascii="宋体" w:hAnsi="宋体"/>
          <w:color w:val="auto"/>
          <w:szCs w:val="21"/>
        </w:rPr>
        <w:t>日内及时予以解决。</w:t>
      </w:r>
    </w:p>
    <w:p w14:paraId="11C82CDB">
      <w:pPr>
        <w:snapToGrid w:val="0"/>
        <w:spacing w:line="340" w:lineRule="exact"/>
        <w:ind w:firstLine="315" w:firstLineChars="150"/>
        <w:rPr>
          <w:rFonts w:hint="eastAsia" w:ascii="宋体" w:hAnsi="宋体"/>
          <w:color w:val="auto"/>
          <w:szCs w:val="21"/>
        </w:rPr>
      </w:pPr>
      <w:r>
        <w:rPr>
          <w:rFonts w:hint="eastAsia" w:ascii="宋体" w:hAnsi="宋体"/>
          <w:color w:val="auto"/>
          <w:szCs w:val="21"/>
        </w:rPr>
        <w:t>5.</w:t>
      </w:r>
      <w:r>
        <w:rPr>
          <w:rFonts w:ascii="宋体" w:hAnsi="宋体"/>
          <w:color w:val="auto"/>
          <w:szCs w:val="21"/>
        </w:rPr>
        <w:t>6</w:t>
      </w:r>
      <w:r>
        <w:rPr>
          <w:rFonts w:hint="eastAsia" w:ascii="宋体" w:hAnsi="宋体"/>
          <w:color w:val="auto"/>
          <w:szCs w:val="21"/>
        </w:rPr>
        <w:t>.对技术复杂的服务，甲方应请国家认可的专业检测机构参与初步验收及最终验收，并由其出具质量检测报告。</w:t>
      </w:r>
    </w:p>
    <w:p w14:paraId="2828858F">
      <w:pPr>
        <w:snapToGrid w:val="0"/>
        <w:spacing w:line="340" w:lineRule="exact"/>
        <w:ind w:firstLine="315" w:firstLineChars="150"/>
        <w:rPr>
          <w:rFonts w:hint="eastAsia" w:ascii="宋体" w:hAnsi="宋体"/>
          <w:color w:val="auto"/>
          <w:szCs w:val="21"/>
        </w:rPr>
      </w:pPr>
      <w:r>
        <w:rPr>
          <w:rFonts w:hint="eastAsia" w:ascii="宋体" w:hAnsi="宋体"/>
          <w:color w:val="auto"/>
          <w:szCs w:val="21"/>
        </w:rPr>
        <w:t>6.售后服务及培训</w:t>
      </w:r>
    </w:p>
    <w:p w14:paraId="557F7C62">
      <w:pPr>
        <w:snapToGrid w:val="0"/>
        <w:spacing w:line="340" w:lineRule="exact"/>
        <w:ind w:firstLine="315" w:firstLineChars="150"/>
        <w:rPr>
          <w:rFonts w:ascii="宋体" w:hAnsi="宋体"/>
          <w:color w:val="auto"/>
          <w:szCs w:val="21"/>
        </w:rPr>
      </w:pPr>
      <w:r>
        <w:rPr>
          <w:rFonts w:hint="eastAsia"/>
          <w:color w:val="auto"/>
        </w:rPr>
        <w:t>6.</w:t>
      </w:r>
      <w:r>
        <w:rPr>
          <w:color w:val="auto"/>
        </w:rPr>
        <w:t>1</w:t>
      </w:r>
      <w:r>
        <w:rPr>
          <w:rFonts w:hint="eastAsia"/>
          <w:color w:val="auto"/>
        </w:rPr>
        <w:t>.</w:t>
      </w:r>
      <w:r>
        <w:rPr>
          <w:color w:val="auto"/>
        </w:rPr>
        <w:t>乙方应按照国家有关法律法规和</w:t>
      </w:r>
      <w:r>
        <w:rPr>
          <w:rFonts w:hint="eastAsia"/>
          <w:color w:val="auto"/>
        </w:rPr>
        <w:t>响应文件的承诺</w:t>
      </w:r>
      <w:r>
        <w:rPr>
          <w:color w:val="auto"/>
        </w:rPr>
        <w:t>要求为甲方提供相应的售后服务。</w:t>
      </w:r>
    </w:p>
    <w:p w14:paraId="701630BA">
      <w:pPr>
        <w:snapToGrid w:val="0"/>
        <w:spacing w:line="340" w:lineRule="exact"/>
        <w:ind w:firstLine="420" w:firstLineChars="200"/>
        <w:rPr>
          <w:rFonts w:ascii="宋体" w:hAnsi="宋体"/>
          <w:color w:val="auto"/>
          <w:szCs w:val="21"/>
        </w:rPr>
      </w:pPr>
      <w:r>
        <w:rPr>
          <w:rFonts w:hint="eastAsia" w:ascii="宋体" w:hAnsi="宋体"/>
          <w:color w:val="auto"/>
          <w:szCs w:val="21"/>
        </w:rPr>
        <w:t>6.</w:t>
      </w:r>
      <w:r>
        <w:rPr>
          <w:rFonts w:ascii="宋体" w:hAnsi="宋体"/>
          <w:color w:val="auto"/>
          <w:szCs w:val="21"/>
        </w:rPr>
        <w:t>2</w:t>
      </w:r>
      <w:r>
        <w:rPr>
          <w:rFonts w:hint="eastAsia" w:ascii="宋体" w:hAnsi="宋体"/>
          <w:color w:val="auto"/>
          <w:szCs w:val="21"/>
        </w:rPr>
        <w:t>.甲方应提供必要测试条件（如场地、电源、水源等）。</w:t>
      </w:r>
    </w:p>
    <w:p w14:paraId="33340228">
      <w:pPr>
        <w:snapToGrid w:val="0"/>
        <w:spacing w:line="340" w:lineRule="exact"/>
        <w:ind w:firstLine="420" w:firstLineChars="200"/>
        <w:rPr>
          <w:rFonts w:ascii="宋体" w:hAnsi="宋体"/>
          <w:szCs w:val="21"/>
        </w:rPr>
      </w:pPr>
      <w:r>
        <w:rPr>
          <w:rFonts w:hint="eastAsia" w:ascii="宋体" w:hAnsi="宋体"/>
          <w:color w:val="auto"/>
          <w:szCs w:val="21"/>
        </w:rPr>
        <w:t>6.</w:t>
      </w:r>
      <w:r>
        <w:rPr>
          <w:rFonts w:ascii="宋体" w:hAnsi="宋体"/>
          <w:color w:val="auto"/>
          <w:szCs w:val="21"/>
        </w:rPr>
        <w:t>3</w:t>
      </w:r>
      <w:r>
        <w:rPr>
          <w:rFonts w:hint="eastAsia" w:ascii="宋体" w:hAnsi="宋体"/>
          <w:color w:val="auto"/>
          <w:szCs w:val="21"/>
        </w:rPr>
        <w:t>.乙方负责对甲方有关人员进行培训。培训时间、地点：</w:t>
      </w:r>
      <w:r>
        <w:rPr>
          <w:rFonts w:hint="eastAsia" w:ascii="宋体" w:hAnsi="宋体"/>
          <w:color w:val="auto"/>
          <w:szCs w:val="21"/>
          <w:u w:val="single"/>
        </w:rPr>
        <w:t>由甲方指定。</w:t>
      </w:r>
    </w:p>
    <w:p w14:paraId="7DF81196">
      <w:pPr>
        <w:snapToGrid w:val="0"/>
        <w:spacing w:line="340" w:lineRule="exact"/>
        <w:ind w:firstLine="315" w:firstLineChars="150"/>
        <w:rPr>
          <w:rFonts w:ascii="宋体" w:hAnsi="宋体"/>
          <w:szCs w:val="21"/>
        </w:rPr>
      </w:pPr>
    </w:p>
    <w:p w14:paraId="5D6ECFEA">
      <w:pPr>
        <w:snapToGrid w:val="0"/>
        <w:spacing w:line="340" w:lineRule="exact"/>
        <w:rPr>
          <w:rFonts w:ascii="宋体" w:hAnsi="宋体"/>
          <w:b/>
          <w:szCs w:val="21"/>
        </w:rPr>
      </w:pPr>
      <w:r>
        <w:rPr>
          <w:rFonts w:hint="eastAsia" w:ascii="宋体" w:hAnsi="宋体"/>
          <w:b/>
          <w:szCs w:val="21"/>
        </w:rPr>
        <w:t>8．　付款方式</w:t>
      </w:r>
    </w:p>
    <w:p w14:paraId="30611DDB">
      <w:pPr>
        <w:snapToGrid w:val="0"/>
        <w:spacing w:line="340" w:lineRule="exact"/>
        <w:rPr>
          <w:rFonts w:cs="Arial" w:asciiTheme="minorEastAsia" w:hAnsiTheme="minorEastAsia" w:eastAsiaTheme="minorEastAsia"/>
          <w:szCs w:val="21"/>
        </w:rPr>
      </w:pPr>
      <w:r>
        <w:rPr>
          <w:rFonts w:hint="eastAsia" w:cs="Arial" w:asciiTheme="minorEastAsia" w:hAnsiTheme="minorEastAsia" w:eastAsiaTheme="minorEastAsia"/>
          <w:szCs w:val="21"/>
          <w:lang w:val="en-US" w:eastAsia="zh-CN"/>
        </w:rPr>
        <w:t>8.</w:t>
      </w:r>
      <w:r>
        <w:rPr>
          <w:rFonts w:cs="Arial" w:asciiTheme="minorEastAsia" w:hAnsiTheme="minorEastAsia" w:eastAsiaTheme="minorEastAsia"/>
          <w:szCs w:val="21"/>
        </w:rPr>
        <w:t>1.当实际使用数量发生变化时，乙方应根据实际使用量供货，合同的最终结算金额按实际使用量乘以</w:t>
      </w:r>
      <w:r>
        <w:rPr>
          <w:rFonts w:hint="eastAsia" w:cs="Arial" w:asciiTheme="minorEastAsia" w:hAnsiTheme="minorEastAsia" w:eastAsiaTheme="minorEastAsia"/>
          <w:szCs w:val="21"/>
        </w:rPr>
        <w:t>成交单价</w:t>
      </w:r>
      <w:r>
        <w:rPr>
          <w:rFonts w:cs="Arial" w:asciiTheme="minorEastAsia" w:hAnsiTheme="minorEastAsia" w:eastAsiaTheme="minorEastAsia"/>
          <w:szCs w:val="21"/>
        </w:rPr>
        <w:t>进行计算（使用量变更导致合同变动部分的金额不得超过本采购合同金额的10%，且另需签订补充合同）。</w:t>
      </w:r>
    </w:p>
    <w:p w14:paraId="1F3B2225">
      <w:pPr>
        <w:snapToGrid w:val="0"/>
        <w:spacing w:line="340" w:lineRule="exact"/>
      </w:pPr>
      <w:r>
        <w:rPr>
          <w:rFonts w:hint="eastAsia" w:ascii="宋体" w:hAnsi="宋体"/>
          <w:szCs w:val="21"/>
          <w:lang w:val="en-US" w:eastAsia="zh-CN"/>
        </w:rPr>
        <w:t>8.</w:t>
      </w:r>
      <w:r>
        <w:rPr>
          <w:rFonts w:ascii="宋体" w:hAnsi="宋体"/>
          <w:szCs w:val="21"/>
        </w:rPr>
        <w:t>2</w:t>
      </w:r>
      <w:r>
        <w:rPr>
          <w:rFonts w:hint="eastAsia" w:ascii="宋体" w:hAnsi="宋体"/>
          <w:szCs w:val="21"/>
        </w:rPr>
        <w:t>.付款方式：</w:t>
      </w:r>
      <w:r>
        <w:rPr>
          <w:rFonts w:hint="eastAsia"/>
        </w:rPr>
        <w:t>本项目通过最终验收后，乙方开具全额发票（教学科研类国产设备必须开具增值税专用发票）给甲方，甲方收到发票后10个工作日内一次性付清100%的合同价款（无息）。如果项目尚未通过甲方验收，但根据项目实际情况确需提前支付预付款的，甲方可要求乙方提供由银行出具的等额预付款保函（保函有效期应涵盖合同约定的交货期和验收合格期），甲方收到有效的银行保函后支付相应的预付款；项目通过最终验收且甲方收到乙方开具的全额发票后，乙方可根据需要向甲方领取预付款保函（无息）。</w:t>
      </w:r>
    </w:p>
    <w:p w14:paraId="48E8BD8C">
      <w:pPr>
        <w:snapToGrid w:val="0"/>
        <w:spacing w:line="340" w:lineRule="exact"/>
        <w:rPr>
          <w:rFonts w:ascii="宋体" w:hAnsi="宋体"/>
          <w:b/>
          <w:szCs w:val="21"/>
        </w:rPr>
      </w:pPr>
      <w:r>
        <w:rPr>
          <w:rFonts w:hint="eastAsia" w:ascii="宋体" w:hAnsi="宋体"/>
          <w:b/>
          <w:szCs w:val="21"/>
        </w:rPr>
        <w:t>9.  税费</w:t>
      </w:r>
    </w:p>
    <w:p w14:paraId="3DEA3800">
      <w:pPr>
        <w:snapToGrid w:val="0"/>
        <w:spacing w:line="340" w:lineRule="exact"/>
        <w:rPr>
          <w:rFonts w:ascii="宋体" w:hAnsi="宋体"/>
          <w:szCs w:val="21"/>
        </w:rPr>
      </w:pPr>
      <w:r>
        <w:rPr>
          <w:rFonts w:hint="eastAsia" w:ascii="宋体" w:hAnsi="宋体"/>
          <w:szCs w:val="21"/>
        </w:rPr>
        <w:t>本合同执行中相关的一切税费均由乙方负担。</w:t>
      </w:r>
    </w:p>
    <w:p w14:paraId="1C29425C">
      <w:pPr>
        <w:snapToGrid w:val="0"/>
        <w:spacing w:line="340" w:lineRule="exact"/>
        <w:rPr>
          <w:rFonts w:hint="eastAsia" w:ascii="宋体" w:hAnsi="宋体"/>
          <w:b/>
          <w:szCs w:val="21"/>
        </w:rPr>
      </w:pPr>
      <w:r>
        <w:rPr>
          <w:rFonts w:hint="eastAsia" w:ascii="宋体" w:hAnsi="宋体"/>
          <w:b/>
          <w:szCs w:val="21"/>
        </w:rPr>
        <w:t>10.  售后服务及质保期</w:t>
      </w:r>
    </w:p>
    <w:p w14:paraId="6AC8DE04">
      <w:pPr>
        <w:snapToGrid w:val="0"/>
        <w:spacing w:line="340" w:lineRule="exact"/>
        <w:rPr>
          <w:rFonts w:ascii="宋体" w:hAnsi="宋体"/>
          <w:szCs w:val="21"/>
        </w:rPr>
      </w:pPr>
      <w:r>
        <w:rPr>
          <w:rFonts w:hint="eastAsia"/>
        </w:rPr>
        <w:t>10.1 .</w:t>
      </w:r>
      <w:r>
        <w:t>乙方应按照国家有关法律法规和</w:t>
      </w:r>
      <w:r>
        <w:rPr>
          <w:rFonts w:hint="eastAsia"/>
        </w:rPr>
        <w:t>响应文件的承诺</w:t>
      </w:r>
      <w:r>
        <w:t>要求为甲方提供相应的售后服务。</w:t>
      </w:r>
    </w:p>
    <w:p w14:paraId="048D9D80">
      <w:pPr>
        <w:snapToGrid w:val="0"/>
        <w:spacing w:line="340" w:lineRule="exact"/>
        <w:rPr>
          <w:rFonts w:ascii="宋体" w:hAnsi="宋体"/>
          <w:szCs w:val="21"/>
        </w:rPr>
      </w:pPr>
      <w:r>
        <w:rPr>
          <w:rFonts w:hint="eastAsia" w:ascii="宋体" w:hAnsi="宋体"/>
          <w:szCs w:val="21"/>
        </w:rPr>
        <w:t>10.2 .甲方应提供必要测试条件（如场地、电源、水源等）。</w:t>
      </w:r>
    </w:p>
    <w:p w14:paraId="42785BB7">
      <w:pPr>
        <w:snapToGrid w:val="0"/>
        <w:spacing w:line="340" w:lineRule="exact"/>
        <w:rPr>
          <w:rFonts w:hint="eastAsia" w:ascii="宋体" w:hAnsi="宋体"/>
          <w:szCs w:val="21"/>
          <w:u w:val="single"/>
        </w:rPr>
      </w:pPr>
      <w:r>
        <w:rPr>
          <w:rFonts w:hint="eastAsia" w:ascii="宋体" w:hAnsi="宋体"/>
          <w:szCs w:val="21"/>
        </w:rPr>
        <w:t>10.</w:t>
      </w:r>
      <w:r>
        <w:rPr>
          <w:rFonts w:ascii="宋体" w:hAnsi="宋体"/>
          <w:szCs w:val="21"/>
        </w:rPr>
        <w:t>3</w:t>
      </w:r>
      <w:r>
        <w:rPr>
          <w:rFonts w:hint="eastAsia" w:ascii="宋体" w:hAnsi="宋体"/>
          <w:szCs w:val="21"/>
        </w:rPr>
        <w:t>. 乙方负责对甲方有关人员进行培训。培训时间、地点：</w:t>
      </w:r>
      <w:r>
        <w:rPr>
          <w:rFonts w:hint="eastAsia" w:ascii="宋体" w:hAnsi="宋体"/>
          <w:szCs w:val="21"/>
          <w:u w:val="single"/>
        </w:rPr>
        <w:t>由甲方指定</w:t>
      </w:r>
    </w:p>
    <w:p w14:paraId="451BF49F">
      <w:pPr>
        <w:snapToGrid w:val="0"/>
        <w:spacing w:line="340" w:lineRule="exact"/>
        <w:rPr>
          <w:rFonts w:ascii="宋体" w:hAnsi="宋体"/>
          <w:szCs w:val="21"/>
        </w:rPr>
      </w:pPr>
      <w:r>
        <w:rPr>
          <w:rFonts w:ascii="宋体" w:hAnsi="宋体"/>
          <w:szCs w:val="21"/>
        </w:rPr>
        <w:t>1</w:t>
      </w:r>
      <w:r>
        <w:rPr>
          <w:rFonts w:hint="eastAsia" w:ascii="宋体" w:hAnsi="宋体"/>
          <w:szCs w:val="21"/>
        </w:rPr>
        <w:t>0.4.服务质保期：按乙方投标（响应）文件中承诺的不少于</w:t>
      </w:r>
      <w:r>
        <w:rPr>
          <w:rFonts w:hint="eastAsia" w:hAnsi="宋体"/>
        </w:rPr>
        <w:t>采购文件要求</w:t>
      </w:r>
      <w:r>
        <w:rPr>
          <w:rFonts w:hint="eastAsia" w:ascii="宋体" w:hAnsi="宋体"/>
          <w:szCs w:val="21"/>
        </w:rPr>
        <w:t>的免费保修期限。</w:t>
      </w:r>
    </w:p>
    <w:p w14:paraId="074F6BD3">
      <w:pPr>
        <w:snapToGrid w:val="0"/>
        <w:spacing w:line="340" w:lineRule="exact"/>
        <w:rPr>
          <w:rFonts w:ascii="宋体" w:hAnsi="宋体"/>
          <w:szCs w:val="21"/>
        </w:rPr>
      </w:pPr>
      <w:r>
        <w:rPr>
          <w:rFonts w:hint="eastAsia" w:ascii="宋体" w:hAnsi="宋体"/>
          <w:szCs w:val="21"/>
        </w:rPr>
        <w:t>10.5.上述的服务免费保修期为</w:t>
      </w:r>
      <w:r>
        <w:rPr>
          <w:rFonts w:hint="eastAsia" w:ascii="宋体" w:hAnsi="宋体"/>
          <w:szCs w:val="21"/>
          <w:u w:val="single"/>
          <w:lang w:val="en-US" w:eastAsia="zh-CN"/>
        </w:rPr>
        <w:t xml:space="preserve">    </w:t>
      </w:r>
      <w:r>
        <w:rPr>
          <w:rFonts w:hint="eastAsia" w:ascii="宋体" w:hAnsi="宋体"/>
          <w:color w:val="auto"/>
          <w:szCs w:val="21"/>
        </w:rPr>
        <w:t>年</w:t>
      </w:r>
      <w:r>
        <w:rPr>
          <w:rFonts w:hint="eastAsia" w:ascii="宋体" w:hAnsi="宋体"/>
          <w:szCs w:val="21"/>
        </w:rPr>
        <w:t>（</w:t>
      </w:r>
      <w:r>
        <w:rPr>
          <w:rFonts w:hint="eastAsia"/>
        </w:rPr>
        <w:t>免费保修期自设备验收合格之日起计算，</w:t>
      </w:r>
      <w:r>
        <w:rPr>
          <w:rFonts w:hint="eastAsia" w:ascii="宋体" w:hAnsi="宋体"/>
          <w:szCs w:val="21"/>
        </w:rPr>
        <w:t>若乙方投标（响应）承诺免费保修期超过</w:t>
      </w:r>
      <w:r>
        <w:rPr>
          <w:rFonts w:hint="eastAsia" w:hAnsi="宋体"/>
        </w:rPr>
        <w:t>采购文件</w:t>
      </w:r>
      <w:r>
        <w:rPr>
          <w:rFonts w:hint="eastAsia" w:ascii="宋体" w:hAnsi="宋体"/>
          <w:szCs w:val="21"/>
        </w:rPr>
        <w:t>要求年限的，按其承诺执行），因人为因素出现的故障不在免费保修范围内。</w:t>
      </w:r>
    </w:p>
    <w:p w14:paraId="094D730E">
      <w:pPr>
        <w:snapToGrid w:val="0"/>
        <w:spacing w:line="340" w:lineRule="exact"/>
        <w:rPr>
          <w:rFonts w:ascii="宋体" w:hAnsi="宋体"/>
          <w:b/>
          <w:szCs w:val="21"/>
        </w:rPr>
      </w:pPr>
      <w:r>
        <w:rPr>
          <w:rFonts w:hint="eastAsia" w:ascii="宋体" w:hAnsi="宋体"/>
          <w:b/>
          <w:szCs w:val="21"/>
        </w:rPr>
        <w:t>11.　违约责任</w:t>
      </w:r>
    </w:p>
    <w:p w14:paraId="32C53CAA">
      <w:pPr>
        <w:snapToGrid w:val="0"/>
        <w:spacing w:line="340" w:lineRule="exact"/>
        <w:rPr>
          <w:rFonts w:ascii="宋体" w:hAnsi="宋体"/>
          <w:szCs w:val="21"/>
        </w:rPr>
      </w:pPr>
      <w:r>
        <w:rPr>
          <w:rFonts w:hint="eastAsia" w:ascii="宋体" w:hAnsi="宋体"/>
          <w:szCs w:val="21"/>
        </w:rPr>
        <w:t>11.</w:t>
      </w:r>
      <w:r>
        <w:rPr>
          <w:rFonts w:ascii="宋体" w:hAnsi="宋体"/>
          <w:szCs w:val="21"/>
        </w:rPr>
        <w:t>1</w:t>
      </w:r>
      <w:r>
        <w:rPr>
          <w:rFonts w:hint="eastAsia" w:ascii="宋体" w:hAnsi="宋体"/>
          <w:szCs w:val="21"/>
        </w:rPr>
        <w:t xml:space="preserve">  乙方提供的服务如侵犯了第三方合法权益而引发的任何纠纷或诉讼，均由乙方负责交涉并承担全部责任。</w:t>
      </w:r>
    </w:p>
    <w:p w14:paraId="01A98BF3">
      <w:pPr>
        <w:snapToGrid w:val="0"/>
        <w:spacing w:line="340" w:lineRule="exact"/>
        <w:rPr>
          <w:rFonts w:hint="eastAsia" w:ascii="宋体" w:hAnsi="宋体"/>
          <w:szCs w:val="21"/>
        </w:rPr>
      </w:pPr>
      <w:r>
        <w:rPr>
          <w:rFonts w:hint="eastAsia" w:ascii="宋体" w:hAnsi="宋体"/>
          <w:szCs w:val="21"/>
        </w:rPr>
        <w:t>11.2 乙方没有按照合同规定的时间提供服务的，每天向甲方偿付违约合同金额额3‰违约金，但违约金累计不得超过违约合同金额</w:t>
      </w:r>
      <w:r>
        <w:rPr>
          <w:rFonts w:ascii="宋体" w:hAnsi="宋体"/>
          <w:szCs w:val="21"/>
          <w:u w:val="single"/>
        </w:rPr>
        <w:t>10</w:t>
      </w:r>
      <w:r>
        <w:rPr>
          <w:rFonts w:hint="eastAsia" w:ascii="宋体" w:hAnsi="宋体"/>
          <w:szCs w:val="21"/>
          <w:u w:val="single"/>
        </w:rPr>
        <w:t>%</w:t>
      </w:r>
      <w:r>
        <w:rPr>
          <w:rFonts w:hint="eastAsia" w:ascii="宋体" w:hAnsi="宋体"/>
          <w:szCs w:val="21"/>
        </w:rPr>
        <w:t>，超过</w:t>
      </w:r>
      <w:bookmarkStart w:id="1" w:name="_Hlk129182355"/>
      <w:r>
        <w:rPr>
          <w:rFonts w:hint="eastAsia"/>
          <w:u w:val="single"/>
        </w:rPr>
        <w:t>7天</w:t>
      </w:r>
      <w:bookmarkEnd w:id="1"/>
      <w:r>
        <w:rPr>
          <w:rFonts w:hint="eastAsia" w:ascii="宋体" w:hAnsi="宋体"/>
          <w:szCs w:val="21"/>
        </w:rPr>
        <w:t>甲方有权解除合同，乙方承担因此给甲方造成经济损失；</w:t>
      </w:r>
    </w:p>
    <w:p w14:paraId="14624102">
      <w:pPr>
        <w:snapToGrid w:val="0"/>
        <w:spacing w:line="340" w:lineRule="exact"/>
        <w:rPr>
          <w:rFonts w:ascii="宋体" w:hAnsi="宋体"/>
          <w:szCs w:val="21"/>
        </w:rPr>
      </w:pPr>
      <w:r>
        <w:rPr>
          <w:rFonts w:hint="eastAsia" w:ascii="宋体" w:hAnsi="宋体"/>
          <w:szCs w:val="21"/>
        </w:rPr>
        <w:t>11.3</w:t>
      </w:r>
      <w:r>
        <w:rPr>
          <w:rFonts w:ascii="宋体" w:hAnsi="宋体"/>
          <w:szCs w:val="21"/>
        </w:rPr>
        <w:t>.</w:t>
      </w:r>
      <w:r>
        <w:rPr>
          <w:rFonts w:hint="eastAsia" w:ascii="宋体" w:hAnsi="宋体"/>
          <w:szCs w:val="21"/>
        </w:rPr>
        <w:t xml:space="preserve"> 甲方延期付款的，每天向乙方偿付延期货款额3‰滞纳金，但滞纳金累计不得超过延期货款额5%。</w:t>
      </w:r>
    </w:p>
    <w:p w14:paraId="17DD3EB9">
      <w:pPr>
        <w:snapToGrid w:val="0"/>
        <w:spacing w:line="340" w:lineRule="exact"/>
        <w:rPr>
          <w:rFonts w:ascii="宋体" w:hAnsi="宋体"/>
          <w:szCs w:val="21"/>
        </w:rPr>
      </w:pPr>
      <w:r>
        <w:rPr>
          <w:rFonts w:hint="eastAsia" w:ascii="宋体" w:hAnsi="宋体"/>
          <w:szCs w:val="21"/>
        </w:rPr>
        <w:t>11.</w:t>
      </w:r>
      <w:r>
        <w:rPr>
          <w:rFonts w:ascii="宋体" w:hAnsi="宋体"/>
          <w:szCs w:val="21"/>
        </w:rPr>
        <w:t>4</w:t>
      </w:r>
      <w:r>
        <w:rPr>
          <w:rFonts w:hint="eastAsia" w:ascii="宋体" w:hAnsi="宋体"/>
          <w:szCs w:val="21"/>
        </w:rPr>
        <w:t>.乙方未按本合同和投标（响应）文件中规定的服务承诺提供售后服务的，乙方应按本合同合计金额 5%向甲方支付违约金。</w:t>
      </w:r>
    </w:p>
    <w:p w14:paraId="3B6ED5D7">
      <w:pPr>
        <w:snapToGrid w:val="0"/>
        <w:spacing w:line="340" w:lineRule="exact"/>
        <w:rPr>
          <w:rFonts w:ascii="宋体" w:hAnsi="宋体"/>
          <w:szCs w:val="21"/>
        </w:rPr>
      </w:pPr>
      <w:r>
        <w:rPr>
          <w:rFonts w:hint="eastAsia" w:ascii="宋体" w:hAnsi="宋体"/>
          <w:szCs w:val="21"/>
        </w:rPr>
        <w:t>11.</w:t>
      </w:r>
      <w:r>
        <w:rPr>
          <w:rFonts w:ascii="宋体" w:hAnsi="宋体"/>
          <w:szCs w:val="21"/>
        </w:rPr>
        <w:t>5</w:t>
      </w:r>
      <w:r>
        <w:rPr>
          <w:rFonts w:hint="eastAsia" w:ascii="宋体" w:hAnsi="宋体"/>
          <w:szCs w:val="21"/>
        </w:rPr>
        <w:t>.乙方提供的服务在质量保证期内，因服务质量原因造成的问题，由乙方负责，费用从履约保证金中扣除，不足另补。</w:t>
      </w:r>
    </w:p>
    <w:p w14:paraId="31456CA5">
      <w:pPr>
        <w:snapToGrid w:val="0"/>
        <w:spacing w:line="340" w:lineRule="exact"/>
        <w:rPr>
          <w:rFonts w:ascii="宋体" w:hAnsi="宋体"/>
          <w:szCs w:val="21"/>
        </w:rPr>
      </w:pPr>
      <w:r>
        <w:rPr>
          <w:rFonts w:hint="eastAsia" w:ascii="宋体" w:hAnsi="宋体"/>
          <w:szCs w:val="21"/>
        </w:rPr>
        <w:t>11.</w:t>
      </w:r>
      <w:r>
        <w:rPr>
          <w:rFonts w:ascii="宋体" w:hAnsi="宋体"/>
          <w:szCs w:val="21"/>
        </w:rPr>
        <w:t>6</w:t>
      </w:r>
      <w:r>
        <w:rPr>
          <w:rFonts w:hint="eastAsia" w:ascii="宋体" w:hAnsi="宋体"/>
          <w:szCs w:val="21"/>
        </w:rPr>
        <w:t>.其它违约行为按违约货款额5%收取违约金并赔偿经济损失。</w:t>
      </w:r>
    </w:p>
    <w:p w14:paraId="77496F54">
      <w:pPr>
        <w:snapToGrid w:val="0"/>
        <w:spacing w:line="340" w:lineRule="exact"/>
        <w:rPr>
          <w:rFonts w:ascii="宋体" w:hAnsi="宋体"/>
          <w:b/>
          <w:szCs w:val="21"/>
        </w:rPr>
      </w:pPr>
      <w:r>
        <w:rPr>
          <w:rFonts w:hint="eastAsia" w:ascii="宋体" w:hAnsi="宋体"/>
          <w:b/>
          <w:szCs w:val="21"/>
        </w:rPr>
        <w:t>12.  不可抗力事件处理</w:t>
      </w:r>
    </w:p>
    <w:p w14:paraId="1B2E0AB3">
      <w:pPr>
        <w:snapToGrid w:val="0"/>
        <w:spacing w:line="340" w:lineRule="exact"/>
        <w:rPr>
          <w:rFonts w:ascii="宋体" w:hAnsi="宋体"/>
          <w:szCs w:val="21"/>
        </w:rPr>
      </w:pPr>
      <w:r>
        <w:rPr>
          <w:rFonts w:hint="eastAsia" w:ascii="宋体" w:hAnsi="宋体"/>
          <w:szCs w:val="21"/>
          <w:lang w:val="en-US" w:eastAsia="zh-CN"/>
        </w:rPr>
        <w:t>12.</w:t>
      </w:r>
      <w:r>
        <w:rPr>
          <w:rFonts w:hint="eastAsia" w:ascii="宋体" w:hAnsi="宋体"/>
          <w:szCs w:val="21"/>
        </w:rPr>
        <w:t>1.在合同有效期内，任何一方因不可抗力事件导致不能履行合同，则合同履行期可延长，其延长期与不可抗力影响期相同。</w:t>
      </w:r>
    </w:p>
    <w:p w14:paraId="5409EF7D">
      <w:pPr>
        <w:snapToGrid w:val="0"/>
        <w:spacing w:line="340" w:lineRule="exact"/>
        <w:rPr>
          <w:rFonts w:ascii="宋体" w:hAnsi="宋体"/>
          <w:szCs w:val="21"/>
        </w:rPr>
      </w:pPr>
      <w:r>
        <w:rPr>
          <w:rFonts w:hint="eastAsia" w:ascii="宋体" w:hAnsi="宋体"/>
          <w:szCs w:val="21"/>
          <w:lang w:val="en-US" w:eastAsia="zh-CN"/>
        </w:rPr>
        <w:t>12.</w:t>
      </w:r>
      <w:r>
        <w:rPr>
          <w:rFonts w:hint="eastAsia" w:ascii="宋体" w:hAnsi="宋体"/>
          <w:szCs w:val="21"/>
        </w:rPr>
        <w:t>2.不可抗力事件发生后，应立即通知对方，并寄送有关权威机构出具的证明。</w:t>
      </w:r>
    </w:p>
    <w:p w14:paraId="18F3C4D3">
      <w:pPr>
        <w:snapToGrid w:val="0"/>
        <w:spacing w:line="340" w:lineRule="exact"/>
        <w:rPr>
          <w:rFonts w:ascii="宋体" w:hAnsi="宋体"/>
          <w:szCs w:val="21"/>
        </w:rPr>
      </w:pPr>
      <w:r>
        <w:rPr>
          <w:rFonts w:hint="eastAsia" w:ascii="宋体" w:hAnsi="宋体"/>
          <w:szCs w:val="21"/>
          <w:lang w:val="en-US" w:eastAsia="zh-CN"/>
        </w:rPr>
        <w:t>12.</w:t>
      </w:r>
      <w:r>
        <w:rPr>
          <w:rFonts w:hint="eastAsia" w:ascii="宋体" w:hAnsi="宋体"/>
          <w:szCs w:val="21"/>
        </w:rPr>
        <w:t>3.不可抗力事件延续120天以上，双方应通过友好协商，确定是否继续履行合同。</w:t>
      </w:r>
    </w:p>
    <w:p w14:paraId="7FD6A011">
      <w:pPr>
        <w:snapToGrid w:val="0"/>
        <w:spacing w:line="340" w:lineRule="exact"/>
        <w:rPr>
          <w:rFonts w:ascii="宋体" w:hAnsi="宋体"/>
          <w:b/>
          <w:szCs w:val="21"/>
        </w:rPr>
      </w:pPr>
      <w:r>
        <w:rPr>
          <w:rFonts w:hint="eastAsia" w:ascii="宋体" w:hAnsi="宋体"/>
          <w:b/>
          <w:szCs w:val="21"/>
        </w:rPr>
        <w:t>13 . 合同争议解决</w:t>
      </w:r>
    </w:p>
    <w:p w14:paraId="62B453A1">
      <w:pPr>
        <w:snapToGrid w:val="0"/>
        <w:spacing w:line="340" w:lineRule="exact"/>
        <w:rPr>
          <w:rFonts w:ascii="宋体" w:hAnsi="宋体"/>
          <w:szCs w:val="21"/>
        </w:rPr>
      </w:pPr>
      <w:r>
        <w:rPr>
          <w:rFonts w:hint="eastAsia" w:ascii="宋体" w:hAnsi="宋体"/>
          <w:szCs w:val="21"/>
        </w:rPr>
        <w:t>13.1.因服务质量问题发生争议的，应邀请国家认可的质量检测机构对服务质量进行鉴定。服务符合标准的，鉴定费由甲方承担；服务不符合标准的，鉴定费由乙方承担。</w:t>
      </w:r>
    </w:p>
    <w:p w14:paraId="41F01415">
      <w:pPr>
        <w:snapToGrid w:val="0"/>
        <w:spacing w:line="340" w:lineRule="exact"/>
        <w:rPr>
          <w:rFonts w:ascii="宋体" w:hAnsi="宋体"/>
          <w:szCs w:val="21"/>
        </w:rPr>
      </w:pPr>
      <w:r>
        <w:rPr>
          <w:rFonts w:hint="eastAsia" w:ascii="宋体" w:hAnsi="宋体"/>
          <w:szCs w:val="21"/>
        </w:rPr>
        <w:t>13.2.因履行本合同引起的或与本合同有关的争议，甲乙双方应首先通过友好协商解决，如果协商不能解决，可向甲方所在地的人民法院提起诉讼。</w:t>
      </w:r>
    </w:p>
    <w:p w14:paraId="639EAB6E">
      <w:pPr>
        <w:snapToGrid w:val="0"/>
        <w:spacing w:line="340" w:lineRule="exact"/>
        <w:rPr>
          <w:rFonts w:ascii="宋体" w:hAnsi="宋体"/>
          <w:b/>
          <w:szCs w:val="21"/>
        </w:rPr>
      </w:pPr>
      <w:r>
        <w:rPr>
          <w:rFonts w:hint="eastAsia" w:ascii="宋体" w:hAnsi="宋体"/>
          <w:b/>
          <w:szCs w:val="21"/>
        </w:rPr>
        <w:t>14. 合同生效及其它</w:t>
      </w:r>
    </w:p>
    <w:p w14:paraId="0F9C07D7">
      <w:pPr>
        <w:snapToGrid w:val="0"/>
        <w:spacing w:line="340" w:lineRule="exact"/>
        <w:rPr>
          <w:rFonts w:ascii="宋体" w:hAnsi="宋体"/>
          <w:szCs w:val="21"/>
        </w:rPr>
      </w:pPr>
      <w:r>
        <w:rPr>
          <w:rFonts w:hint="eastAsia" w:ascii="宋体" w:hAnsi="宋体"/>
          <w:szCs w:val="21"/>
          <w:lang w:val="en-US" w:eastAsia="zh-CN"/>
        </w:rPr>
        <w:t>14.</w:t>
      </w:r>
      <w:r>
        <w:rPr>
          <w:rFonts w:hint="eastAsia" w:ascii="宋体" w:hAnsi="宋体"/>
          <w:szCs w:val="21"/>
        </w:rPr>
        <w:t>1.合同经双方法定代表人（负责人/自然人）或委托代理人签字并加盖单位公章后生效（委托代理人签字的需后附法定代表人授权委托书，格式自拟）。</w:t>
      </w:r>
    </w:p>
    <w:p w14:paraId="60339863">
      <w:pPr>
        <w:snapToGrid w:val="0"/>
        <w:spacing w:line="340" w:lineRule="exact"/>
        <w:rPr>
          <w:rFonts w:ascii="宋体" w:hAnsi="宋体"/>
          <w:szCs w:val="21"/>
        </w:rPr>
      </w:pPr>
      <w:r>
        <w:rPr>
          <w:rFonts w:hint="eastAsia" w:ascii="宋体" w:hAnsi="宋体"/>
          <w:szCs w:val="21"/>
          <w:lang w:val="en-US" w:eastAsia="zh-CN"/>
        </w:rPr>
        <w:t>14.</w:t>
      </w:r>
      <w:r>
        <w:rPr>
          <w:rFonts w:hint="eastAsia" w:ascii="宋体" w:hAnsi="宋体"/>
          <w:szCs w:val="21"/>
        </w:rPr>
        <w:t>2.合同执行中涉及采购资金和采购内容修改或补充的，须经财政部门审批，并签书面补充协议报财政部门备案，方可作为主合同不可分割的一部分。</w:t>
      </w:r>
    </w:p>
    <w:p w14:paraId="49213B0C">
      <w:pPr>
        <w:snapToGrid w:val="0"/>
        <w:spacing w:line="340" w:lineRule="exact"/>
        <w:rPr>
          <w:rFonts w:ascii="宋体" w:hAnsi="宋体"/>
          <w:szCs w:val="21"/>
        </w:rPr>
      </w:pPr>
      <w:r>
        <w:rPr>
          <w:rFonts w:hint="eastAsia" w:ascii="宋体" w:hAnsi="宋体"/>
          <w:szCs w:val="21"/>
          <w:lang w:val="en-US" w:eastAsia="zh-CN"/>
        </w:rPr>
        <w:t>14.</w:t>
      </w:r>
      <w:r>
        <w:rPr>
          <w:rFonts w:hint="eastAsia" w:ascii="宋体" w:hAnsi="宋体"/>
          <w:szCs w:val="21"/>
        </w:rPr>
        <w:t>3.本合同未尽事宜，遵照《</w:t>
      </w:r>
      <w:r>
        <w:rPr>
          <w:rFonts w:ascii="Arial" w:hAnsi="Arial" w:cs="Arial"/>
          <w:szCs w:val="21"/>
          <w:shd w:val="clear" w:color="auto" w:fill="FFFFFF"/>
        </w:rPr>
        <w:t>中华人民共和国民法典</w:t>
      </w:r>
      <w:r>
        <w:rPr>
          <w:rFonts w:hint="eastAsia" w:ascii="宋体" w:hAnsi="宋体"/>
          <w:szCs w:val="21"/>
        </w:rPr>
        <w:t>》有关条文执行。</w:t>
      </w:r>
    </w:p>
    <w:p w14:paraId="121604D2">
      <w:pPr>
        <w:snapToGrid w:val="0"/>
        <w:spacing w:line="340" w:lineRule="exact"/>
        <w:rPr>
          <w:rFonts w:ascii="宋体" w:hAnsi="宋体"/>
          <w:b/>
          <w:szCs w:val="21"/>
        </w:rPr>
      </w:pPr>
      <w:r>
        <w:rPr>
          <w:rFonts w:hint="eastAsia" w:ascii="宋体" w:hAnsi="宋体"/>
          <w:b/>
          <w:szCs w:val="21"/>
        </w:rPr>
        <w:t>15.　合同的变更、终止与转让</w:t>
      </w:r>
    </w:p>
    <w:p w14:paraId="4311564F">
      <w:pPr>
        <w:snapToGrid w:val="0"/>
        <w:spacing w:line="340" w:lineRule="exact"/>
        <w:rPr>
          <w:rFonts w:ascii="宋体" w:hAnsi="宋体"/>
          <w:szCs w:val="21"/>
        </w:rPr>
      </w:pPr>
      <w:r>
        <w:rPr>
          <w:rFonts w:hint="eastAsia" w:ascii="宋体" w:hAnsi="宋体"/>
          <w:szCs w:val="21"/>
          <w:lang w:val="en-US" w:eastAsia="zh-CN"/>
        </w:rPr>
        <w:t>15.</w:t>
      </w:r>
      <w:r>
        <w:rPr>
          <w:rFonts w:hint="eastAsia" w:ascii="宋体" w:hAnsi="宋体"/>
          <w:szCs w:val="21"/>
        </w:rPr>
        <w:t>1.除《中华人民共和国政府采购法》第五十条规定的情形外，本合同一经签订，甲乙双方不得擅自变更、中止或终止合同。</w:t>
      </w:r>
    </w:p>
    <w:p w14:paraId="05E36FA0">
      <w:pPr>
        <w:snapToGrid w:val="0"/>
        <w:spacing w:line="340" w:lineRule="exact"/>
        <w:rPr>
          <w:rFonts w:ascii="宋体" w:hAnsi="宋体"/>
          <w:szCs w:val="21"/>
        </w:rPr>
      </w:pPr>
      <w:r>
        <w:rPr>
          <w:rFonts w:hint="eastAsia" w:ascii="宋体" w:hAnsi="宋体"/>
          <w:szCs w:val="21"/>
          <w:lang w:val="en-US" w:eastAsia="zh-CN"/>
        </w:rPr>
        <w:t>15.</w:t>
      </w:r>
      <w:r>
        <w:rPr>
          <w:rFonts w:hint="eastAsia" w:ascii="宋体" w:hAnsi="宋体"/>
          <w:szCs w:val="21"/>
        </w:rPr>
        <w:t>2.乙方不得擅自转让其应履行的合同义务。</w:t>
      </w:r>
    </w:p>
    <w:p w14:paraId="3BBDD4D8">
      <w:pPr>
        <w:snapToGrid w:val="0"/>
        <w:spacing w:line="340" w:lineRule="exact"/>
        <w:rPr>
          <w:rFonts w:ascii="宋体" w:hAnsi="宋体"/>
          <w:b/>
          <w:szCs w:val="21"/>
        </w:rPr>
      </w:pPr>
      <w:r>
        <w:rPr>
          <w:rFonts w:hint="eastAsia" w:ascii="宋体" w:hAnsi="宋体"/>
          <w:b/>
          <w:szCs w:val="21"/>
        </w:rPr>
        <w:t>16.　签订本合同依据</w:t>
      </w:r>
    </w:p>
    <w:p w14:paraId="4AF25FAF">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1</w:t>
      </w:r>
      <w:r>
        <w:rPr>
          <w:rFonts w:ascii="宋体" w:hAnsi="宋体"/>
          <w:szCs w:val="21"/>
        </w:rPr>
        <w:t>.乙方提供的</w:t>
      </w:r>
      <w:r>
        <w:rPr>
          <w:rFonts w:hint="eastAsia" w:ascii="宋体" w:hAnsi="宋体"/>
          <w:szCs w:val="21"/>
        </w:rPr>
        <w:t>响应文件、应答文件</w:t>
      </w:r>
      <w:r>
        <w:rPr>
          <w:rFonts w:ascii="宋体" w:hAnsi="宋体"/>
          <w:szCs w:val="21"/>
        </w:rPr>
        <w:t>；</w:t>
      </w:r>
    </w:p>
    <w:p w14:paraId="468FAA30">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2.采购文件及更正公告（澄清或补充通知）；</w:t>
      </w:r>
    </w:p>
    <w:p w14:paraId="31819591">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3.标准、规范及有关技术文件；</w:t>
      </w:r>
    </w:p>
    <w:p w14:paraId="2C918A14">
      <w:pPr>
        <w:snapToGrid w:val="0"/>
        <w:spacing w:line="340" w:lineRule="exact"/>
        <w:rPr>
          <w:rFonts w:ascii="宋体" w:hAnsi="宋体"/>
          <w:szCs w:val="21"/>
        </w:rPr>
      </w:pPr>
      <w:r>
        <w:rPr>
          <w:rFonts w:hint="eastAsia" w:ascii="宋体" w:hAnsi="宋体"/>
          <w:szCs w:val="21"/>
          <w:lang w:val="en-US" w:eastAsia="zh-CN"/>
        </w:rPr>
        <w:t>16.</w:t>
      </w:r>
      <w:r>
        <w:rPr>
          <w:rFonts w:hint="eastAsia" w:ascii="宋体" w:hAnsi="宋体"/>
          <w:szCs w:val="21"/>
        </w:rPr>
        <w:t>4.双方约定的其他合同文件。</w:t>
      </w:r>
    </w:p>
    <w:p w14:paraId="4400E9B9">
      <w:pPr>
        <w:snapToGrid w:val="0"/>
        <w:spacing w:line="340" w:lineRule="exact"/>
        <w:rPr>
          <w:rFonts w:ascii="宋体" w:hAnsi="宋体"/>
          <w:szCs w:val="21"/>
        </w:rPr>
      </w:pPr>
      <w:r>
        <w:rPr>
          <w:rFonts w:hint="eastAsia" w:ascii="宋体" w:hAnsi="宋体"/>
          <w:b/>
          <w:szCs w:val="21"/>
        </w:rPr>
        <w:t>17.　</w:t>
      </w:r>
      <w:r>
        <w:rPr>
          <w:rFonts w:hint="eastAsia" w:ascii="宋体" w:hAnsi="宋体"/>
          <w:szCs w:val="21"/>
        </w:rPr>
        <w:t>本合同一式三份，具有同等法律效力，甲方执两份，乙方执一份（可根据需要另增加）。</w:t>
      </w:r>
    </w:p>
    <w:p w14:paraId="66DE3BE1">
      <w:pPr>
        <w:snapToGrid w:val="0"/>
        <w:spacing w:line="340" w:lineRule="exact"/>
        <w:rPr>
          <w:rFonts w:ascii="宋体" w:hAnsi="宋体"/>
          <w:szCs w:val="21"/>
        </w:rPr>
      </w:pPr>
      <w:r>
        <w:rPr>
          <w:rFonts w:hint="eastAsia" w:ascii="宋体" w:hAnsi="宋体"/>
          <w:szCs w:val="21"/>
        </w:rPr>
        <w:t>本合同甲乙双方签字并盖章后生效。</w:t>
      </w:r>
    </w:p>
    <w:p w14:paraId="7F0295F4">
      <w:pPr>
        <w:snapToGrid w:val="0"/>
        <w:spacing w:line="340" w:lineRule="exact"/>
        <w:rPr>
          <w:rFonts w:ascii="宋体" w:hAnsi="宋体"/>
          <w:szCs w:val="21"/>
        </w:rPr>
      </w:pPr>
    </w:p>
    <w:tbl>
      <w:tblPr>
        <w:tblStyle w:val="8"/>
        <w:tblW w:w="9033"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517"/>
      </w:tblGrid>
      <w:tr w14:paraId="7EC0F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trPr>
        <w:tc>
          <w:tcPr>
            <w:tcW w:w="4516" w:type="dxa"/>
            <w:vAlign w:val="center"/>
          </w:tcPr>
          <w:p w14:paraId="4D510D3D">
            <w:pPr>
              <w:snapToGrid w:val="0"/>
              <w:spacing w:line="360" w:lineRule="exact"/>
              <w:rPr>
                <w:rFonts w:ascii="宋体" w:hAnsi="宋体"/>
                <w:szCs w:val="21"/>
              </w:rPr>
            </w:pPr>
            <w:r>
              <w:rPr>
                <w:rFonts w:hint="eastAsia" w:ascii="宋体" w:hAnsi="宋体"/>
                <w:szCs w:val="21"/>
              </w:rPr>
              <w:t xml:space="preserve">甲方（章）           </w:t>
            </w:r>
          </w:p>
          <w:p w14:paraId="0ECAA035">
            <w:pPr>
              <w:snapToGrid w:val="0"/>
              <w:spacing w:line="360" w:lineRule="exact"/>
              <w:rPr>
                <w:rFonts w:ascii="宋体" w:hAnsi="宋体"/>
                <w:szCs w:val="21"/>
              </w:rPr>
            </w:pPr>
          </w:p>
          <w:p w14:paraId="0CAE7320">
            <w:pPr>
              <w:snapToGrid w:val="0"/>
              <w:spacing w:line="360" w:lineRule="exact"/>
              <w:ind w:firstLine="630" w:firstLineChars="300"/>
              <w:rPr>
                <w:rFonts w:ascii="宋体" w:hAnsi="宋体"/>
                <w:szCs w:val="21"/>
              </w:rPr>
            </w:pPr>
            <w:r>
              <w:rPr>
                <w:rFonts w:hint="eastAsia" w:ascii="宋体" w:hAnsi="宋体"/>
                <w:szCs w:val="21"/>
              </w:rPr>
              <w:t>年   月   日</w:t>
            </w:r>
          </w:p>
        </w:tc>
        <w:tc>
          <w:tcPr>
            <w:tcW w:w="4517" w:type="dxa"/>
            <w:vAlign w:val="center"/>
          </w:tcPr>
          <w:p w14:paraId="1AE6C698">
            <w:pPr>
              <w:snapToGrid w:val="0"/>
              <w:spacing w:line="360" w:lineRule="exact"/>
              <w:rPr>
                <w:rFonts w:ascii="宋体" w:hAnsi="宋体"/>
                <w:szCs w:val="21"/>
              </w:rPr>
            </w:pPr>
            <w:r>
              <w:rPr>
                <w:rFonts w:hint="eastAsia" w:ascii="宋体" w:hAnsi="宋体"/>
                <w:szCs w:val="21"/>
              </w:rPr>
              <w:t xml:space="preserve">乙方（章）              </w:t>
            </w:r>
          </w:p>
          <w:p w14:paraId="0288189F">
            <w:pPr>
              <w:snapToGrid w:val="0"/>
              <w:spacing w:line="360" w:lineRule="exact"/>
              <w:rPr>
                <w:rFonts w:ascii="宋体" w:hAnsi="宋体"/>
                <w:szCs w:val="21"/>
              </w:rPr>
            </w:pPr>
          </w:p>
          <w:p w14:paraId="57776B87">
            <w:pPr>
              <w:snapToGrid w:val="0"/>
              <w:spacing w:line="360" w:lineRule="exact"/>
              <w:rPr>
                <w:rFonts w:ascii="宋体" w:hAnsi="宋体"/>
                <w:szCs w:val="21"/>
              </w:rPr>
            </w:pPr>
            <w:r>
              <w:rPr>
                <w:rFonts w:hint="eastAsia" w:ascii="宋体" w:hAnsi="宋体"/>
                <w:szCs w:val="21"/>
              </w:rPr>
              <w:t xml:space="preserve">       年   月   日</w:t>
            </w:r>
          </w:p>
        </w:tc>
      </w:tr>
      <w:tr w14:paraId="1EE60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516" w:type="dxa"/>
            <w:vAlign w:val="center"/>
          </w:tcPr>
          <w:p w14:paraId="099C4D7D">
            <w:pPr>
              <w:snapToGrid w:val="0"/>
              <w:spacing w:line="360" w:lineRule="exact"/>
              <w:rPr>
                <w:rFonts w:ascii="宋体" w:hAnsi="宋体"/>
                <w:szCs w:val="21"/>
              </w:rPr>
            </w:pPr>
            <w:r>
              <w:rPr>
                <w:rFonts w:hint="eastAsia" w:ascii="宋体" w:hAnsi="宋体"/>
                <w:szCs w:val="21"/>
              </w:rPr>
              <w:t>单位地址：桂林市</w:t>
            </w:r>
            <w:r>
              <w:rPr>
                <w:rFonts w:hint="eastAsia" w:ascii="宋体" w:hAnsi="宋体"/>
                <w:szCs w:val="21"/>
                <w:lang w:eastAsia="zh-CN"/>
              </w:rPr>
              <w:t>金鸡路</w:t>
            </w:r>
            <w:r>
              <w:rPr>
                <w:rFonts w:hint="eastAsia" w:ascii="宋体" w:hAnsi="宋体"/>
                <w:szCs w:val="21"/>
                <w:lang w:val="en-US" w:eastAsia="zh-CN"/>
              </w:rPr>
              <w:t>1</w:t>
            </w:r>
            <w:r>
              <w:rPr>
                <w:rFonts w:hint="eastAsia" w:ascii="宋体" w:hAnsi="宋体"/>
                <w:szCs w:val="21"/>
              </w:rPr>
              <w:t>号</w:t>
            </w:r>
          </w:p>
        </w:tc>
        <w:tc>
          <w:tcPr>
            <w:tcW w:w="4517" w:type="dxa"/>
            <w:vAlign w:val="center"/>
          </w:tcPr>
          <w:p w14:paraId="7536399C">
            <w:pPr>
              <w:snapToGrid w:val="0"/>
              <w:spacing w:line="360" w:lineRule="exact"/>
              <w:rPr>
                <w:rFonts w:ascii="宋体" w:hAnsi="宋体"/>
                <w:szCs w:val="21"/>
              </w:rPr>
            </w:pPr>
            <w:r>
              <w:rPr>
                <w:rFonts w:hint="eastAsia" w:ascii="宋体" w:hAnsi="宋体"/>
                <w:szCs w:val="21"/>
              </w:rPr>
              <w:t>单位地址：</w:t>
            </w:r>
          </w:p>
        </w:tc>
      </w:tr>
      <w:tr w14:paraId="4ED98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16" w:type="dxa"/>
            <w:vAlign w:val="center"/>
          </w:tcPr>
          <w:p w14:paraId="06A9BEC4">
            <w:pPr>
              <w:snapToGrid w:val="0"/>
              <w:spacing w:line="360" w:lineRule="exact"/>
              <w:rPr>
                <w:rFonts w:ascii="宋体" w:hAnsi="宋体"/>
                <w:szCs w:val="21"/>
              </w:rPr>
            </w:pPr>
            <w:r>
              <w:rPr>
                <w:rFonts w:hint="eastAsia" w:ascii="宋体" w:hAnsi="宋体"/>
                <w:szCs w:val="21"/>
              </w:rPr>
              <w:t>法定代表人：</w:t>
            </w:r>
          </w:p>
        </w:tc>
        <w:tc>
          <w:tcPr>
            <w:tcW w:w="4517" w:type="dxa"/>
            <w:vAlign w:val="center"/>
          </w:tcPr>
          <w:p w14:paraId="4E618C7A">
            <w:pPr>
              <w:snapToGrid w:val="0"/>
              <w:spacing w:line="360" w:lineRule="exact"/>
              <w:rPr>
                <w:rFonts w:ascii="宋体" w:hAnsi="宋体"/>
                <w:szCs w:val="21"/>
              </w:rPr>
            </w:pPr>
            <w:r>
              <w:rPr>
                <w:rFonts w:hint="eastAsia" w:ascii="宋体" w:hAnsi="宋体"/>
                <w:szCs w:val="21"/>
              </w:rPr>
              <w:t>法定代表人：</w:t>
            </w:r>
          </w:p>
        </w:tc>
      </w:tr>
      <w:tr w14:paraId="35EFD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trPr>
        <w:tc>
          <w:tcPr>
            <w:tcW w:w="4516" w:type="dxa"/>
            <w:vAlign w:val="center"/>
          </w:tcPr>
          <w:p w14:paraId="5A0C0611">
            <w:pPr>
              <w:snapToGrid w:val="0"/>
              <w:spacing w:line="360" w:lineRule="exact"/>
              <w:rPr>
                <w:rFonts w:ascii="宋体" w:hAnsi="宋体"/>
                <w:szCs w:val="21"/>
              </w:rPr>
            </w:pPr>
            <w:r>
              <w:rPr>
                <w:rFonts w:hint="eastAsia" w:ascii="宋体" w:hAnsi="宋体"/>
                <w:szCs w:val="21"/>
              </w:rPr>
              <w:t>委托代理人：</w:t>
            </w:r>
          </w:p>
        </w:tc>
        <w:tc>
          <w:tcPr>
            <w:tcW w:w="4517" w:type="dxa"/>
            <w:vAlign w:val="center"/>
          </w:tcPr>
          <w:p w14:paraId="6B2CBF7D">
            <w:pPr>
              <w:snapToGrid w:val="0"/>
              <w:spacing w:line="360" w:lineRule="exact"/>
              <w:rPr>
                <w:rFonts w:ascii="宋体" w:hAnsi="宋体"/>
                <w:szCs w:val="21"/>
              </w:rPr>
            </w:pPr>
            <w:r>
              <w:rPr>
                <w:rFonts w:hint="eastAsia" w:ascii="宋体" w:hAnsi="宋体"/>
                <w:szCs w:val="21"/>
              </w:rPr>
              <w:t>委托代理人：</w:t>
            </w:r>
          </w:p>
        </w:tc>
      </w:tr>
      <w:tr w14:paraId="2C35D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4516" w:type="dxa"/>
            <w:vAlign w:val="center"/>
          </w:tcPr>
          <w:p w14:paraId="6D596544">
            <w:pPr>
              <w:snapToGrid w:val="0"/>
              <w:spacing w:line="360" w:lineRule="exact"/>
              <w:rPr>
                <w:rFonts w:ascii="宋体" w:hAnsi="宋体"/>
                <w:szCs w:val="21"/>
              </w:rPr>
            </w:pPr>
            <w:r>
              <w:rPr>
                <w:rFonts w:hint="eastAsia" w:ascii="宋体" w:hAnsi="宋体"/>
                <w:szCs w:val="21"/>
              </w:rPr>
              <w:t>电话：</w:t>
            </w:r>
          </w:p>
        </w:tc>
        <w:tc>
          <w:tcPr>
            <w:tcW w:w="4517" w:type="dxa"/>
            <w:vAlign w:val="center"/>
          </w:tcPr>
          <w:p w14:paraId="17074B4C">
            <w:pPr>
              <w:snapToGrid w:val="0"/>
              <w:spacing w:line="360" w:lineRule="exact"/>
              <w:rPr>
                <w:rFonts w:ascii="宋体" w:hAnsi="宋体"/>
                <w:szCs w:val="21"/>
              </w:rPr>
            </w:pPr>
            <w:r>
              <w:rPr>
                <w:rFonts w:hint="eastAsia" w:ascii="宋体" w:hAnsi="宋体"/>
                <w:szCs w:val="21"/>
              </w:rPr>
              <w:t>电话：</w:t>
            </w:r>
          </w:p>
        </w:tc>
      </w:tr>
      <w:tr w14:paraId="3722C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4516" w:type="dxa"/>
            <w:vAlign w:val="center"/>
          </w:tcPr>
          <w:p w14:paraId="49AE0AF0">
            <w:pPr>
              <w:snapToGrid w:val="0"/>
              <w:spacing w:line="360" w:lineRule="exact"/>
              <w:rPr>
                <w:rFonts w:ascii="宋体" w:hAnsi="宋体"/>
                <w:szCs w:val="21"/>
              </w:rPr>
            </w:pPr>
            <w:r>
              <w:rPr>
                <w:rFonts w:hint="eastAsia" w:ascii="宋体" w:hAnsi="宋体"/>
                <w:szCs w:val="21"/>
              </w:rPr>
              <w:t>电子邮箱：</w:t>
            </w:r>
          </w:p>
        </w:tc>
        <w:tc>
          <w:tcPr>
            <w:tcW w:w="4517" w:type="dxa"/>
            <w:vAlign w:val="center"/>
          </w:tcPr>
          <w:p w14:paraId="76753D70">
            <w:pPr>
              <w:snapToGrid w:val="0"/>
              <w:spacing w:line="360" w:lineRule="exact"/>
              <w:rPr>
                <w:rFonts w:ascii="宋体" w:hAnsi="宋体"/>
                <w:szCs w:val="21"/>
              </w:rPr>
            </w:pPr>
            <w:r>
              <w:rPr>
                <w:rFonts w:hint="eastAsia" w:ascii="宋体" w:hAnsi="宋体"/>
                <w:szCs w:val="21"/>
              </w:rPr>
              <w:t>电子邮箱：</w:t>
            </w:r>
          </w:p>
        </w:tc>
      </w:tr>
      <w:tr w14:paraId="007C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4516" w:type="dxa"/>
            <w:vAlign w:val="center"/>
          </w:tcPr>
          <w:p w14:paraId="27D5E898">
            <w:pPr>
              <w:snapToGrid w:val="0"/>
              <w:spacing w:line="360" w:lineRule="exact"/>
              <w:rPr>
                <w:rFonts w:hint="eastAsia" w:ascii="宋体" w:hAnsi="宋体" w:eastAsia="宋体"/>
                <w:szCs w:val="21"/>
                <w:lang w:eastAsia="zh-CN"/>
              </w:rPr>
            </w:pPr>
            <w:r>
              <w:rPr>
                <w:rFonts w:hint="eastAsia" w:ascii="宋体" w:hAnsi="宋体"/>
                <w:szCs w:val="21"/>
              </w:rPr>
              <w:t>开户银行：</w:t>
            </w:r>
            <w:r>
              <w:rPr>
                <w:rFonts w:hint="eastAsia" w:ascii="宋体" w:hAnsi="宋体"/>
                <w:szCs w:val="21"/>
                <w:lang w:eastAsia="zh-CN"/>
              </w:rPr>
              <w:t>工商银行桂林市屏风支行</w:t>
            </w:r>
          </w:p>
        </w:tc>
        <w:tc>
          <w:tcPr>
            <w:tcW w:w="4517" w:type="dxa"/>
            <w:vAlign w:val="center"/>
          </w:tcPr>
          <w:p w14:paraId="404FD527">
            <w:pPr>
              <w:snapToGrid w:val="0"/>
              <w:spacing w:line="360" w:lineRule="exact"/>
              <w:rPr>
                <w:rFonts w:ascii="宋体" w:hAnsi="宋体"/>
                <w:szCs w:val="21"/>
              </w:rPr>
            </w:pPr>
            <w:r>
              <w:rPr>
                <w:rFonts w:hint="eastAsia" w:ascii="宋体" w:hAnsi="宋体"/>
                <w:szCs w:val="21"/>
              </w:rPr>
              <w:t>开户银行：</w:t>
            </w:r>
          </w:p>
        </w:tc>
      </w:tr>
      <w:tr w14:paraId="55697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4516" w:type="dxa"/>
            <w:vAlign w:val="center"/>
          </w:tcPr>
          <w:p w14:paraId="1466B17C">
            <w:pPr>
              <w:snapToGrid w:val="0"/>
              <w:spacing w:line="360" w:lineRule="exact"/>
              <w:rPr>
                <w:rFonts w:ascii="宋体" w:hAnsi="宋体"/>
                <w:szCs w:val="21"/>
              </w:rPr>
            </w:pPr>
            <w:r>
              <w:rPr>
                <w:rFonts w:hint="eastAsia" w:ascii="宋体" w:hAnsi="宋体"/>
                <w:szCs w:val="21"/>
              </w:rPr>
              <w:t>账号：</w:t>
            </w:r>
            <w:r>
              <w:rPr>
                <w:rFonts w:hint="eastAsia" w:ascii="宋体" w:hAnsi="宋体"/>
                <w:color w:val="auto"/>
                <w:kern w:val="0"/>
                <w:szCs w:val="21"/>
                <w:u w:val="none"/>
              </w:rPr>
              <w:t xml:space="preserve">2103 2152 0924 9017 694 </w:t>
            </w:r>
          </w:p>
        </w:tc>
        <w:tc>
          <w:tcPr>
            <w:tcW w:w="4517" w:type="dxa"/>
            <w:vAlign w:val="center"/>
          </w:tcPr>
          <w:p w14:paraId="73F2A119">
            <w:pPr>
              <w:snapToGrid w:val="0"/>
              <w:spacing w:line="360" w:lineRule="exact"/>
              <w:rPr>
                <w:rFonts w:ascii="宋体" w:hAnsi="宋体"/>
                <w:szCs w:val="21"/>
              </w:rPr>
            </w:pPr>
            <w:r>
              <w:rPr>
                <w:rFonts w:hint="eastAsia" w:ascii="宋体" w:hAnsi="宋体"/>
                <w:szCs w:val="21"/>
              </w:rPr>
              <w:t>账号：</w:t>
            </w:r>
          </w:p>
        </w:tc>
      </w:tr>
      <w:tr w14:paraId="390EF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trPr>
        <w:tc>
          <w:tcPr>
            <w:tcW w:w="4516" w:type="dxa"/>
            <w:vAlign w:val="center"/>
          </w:tcPr>
          <w:p w14:paraId="6E4AA7D3">
            <w:pPr>
              <w:snapToGrid w:val="0"/>
              <w:spacing w:line="360" w:lineRule="exact"/>
              <w:rPr>
                <w:rFonts w:ascii="宋体" w:hAnsi="宋体"/>
                <w:szCs w:val="21"/>
              </w:rPr>
            </w:pPr>
            <w:r>
              <w:rPr>
                <w:rFonts w:hint="eastAsia" w:ascii="宋体" w:hAnsi="宋体"/>
                <w:szCs w:val="21"/>
              </w:rPr>
              <w:t>邮政编码：541004</w:t>
            </w:r>
          </w:p>
        </w:tc>
        <w:tc>
          <w:tcPr>
            <w:tcW w:w="4517" w:type="dxa"/>
            <w:vAlign w:val="center"/>
          </w:tcPr>
          <w:p w14:paraId="146A4E80">
            <w:pPr>
              <w:snapToGrid w:val="0"/>
              <w:spacing w:line="360" w:lineRule="exact"/>
              <w:rPr>
                <w:rFonts w:ascii="宋体" w:hAnsi="宋体"/>
                <w:szCs w:val="21"/>
              </w:rPr>
            </w:pPr>
            <w:r>
              <w:rPr>
                <w:rFonts w:hint="eastAsia" w:ascii="宋体" w:hAnsi="宋体"/>
                <w:szCs w:val="21"/>
              </w:rPr>
              <w:t>邮政编码：</w:t>
            </w:r>
          </w:p>
        </w:tc>
      </w:tr>
    </w:tbl>
    <w:p w14:paraId="4AD4EC53">
      <w:pPr>
        <w:snapToGrid w:val="0"/>
        <w:spacing w:line="360" w:lineRule="exact"/>
        <w:jc w:val="center"/>
        <w:rPr>
          <w:rFonts w:ascii="仿宋_GB2312" w:eastAsia="仿宋_GB2312"/>
          <w:b/>
          <w:sz w:val="28"/>
          <w:szCs w:val="28"/>
        </w:rPr>
      </w:pPr>
    </w:p>
    <w:p w14:paraId="2A063FFC">
      <w:pPr>
        <w:snapToGrid w:val="0"/>
        <w:spacing w:line="360" w:lineRule="exact"/>
        <w:jc w:val="center"/>
        <w:rPr>
          <w:rFonts w:ascii="仿宋_GB2312" w:eastAsia="仿宋_GB2312"/>
          <w:b/>
          <w:sz w:val="28"/>
          <w:szCs w:val="28"/>
        </w:rPr>
      </w:pPr>
    </w:p>
    <w:p w14:paraId="5B11E5B1">
      <w:pPr>
        <w:snapToGrid w:val="0"/>
        <w:spacing w:line="360" w:lineRule="exact"/>
        <w:jc w:val="center"/>
        <w:rPr>
          <w:rFonts w:ascii="仿宋_GB2312" w:eastAsia="仿宋_GB2312"/>
          <w:b/>
          <w:sz w:val="28"/>
          <w:szCs w:val="28"/>
        </w:rPr>
      </w:pPr>
    </w:p>
    <w:p w14:paraId="31AF374C">
      <w:pPr>
        <w:snapToGrid w:val="0"/>
        <w:spacing w:line="360" w:lineRule="exact"/>
        <w:jc w:val="center"/>
        <w:rPr>
          <w:rFonts w:ascii="仿宋_GB2312" w:eastAsia="仿宋_GB2312"/>
          <w:b/>
          <w:sz w:val="28"/>
          <w:szCs w:val="28"/>
        </w:rPr>
      </w:pPr>
    </w:p>
    <w:p w14:paraId="0413D437">
      <w:pPr>
        <w:snapToGrid w:val="0"/>
        <w:spacing w:line="360" w:lineRule="exact"/>
        <w:jc w:val="center"/>
        <w:rPr>
          <w:rFonts w:ascii="仿宋_GB2312" w:eastAsia="仿宋_GB2312"/>
          <w:b/>
          <w:sz w:val="28"/>
          <w:szCs w:val="28"/>
        </w:rPr>
      </w:pPr>
    </w:p>
    <w:p w14:paraId="146FEA69">
      <w:pPr>
        <w:spacing w:line="360" w:lineRule="exact"/>
      </w:pPr>
    </w:p>
    <w:sectPr>
      <w:footerReference r:id="rId3" w:type="default"/>
      <w:pgSz w:w="11906" w:h="16838"/>
      <w:pgMar w:top="1361" w:right="1361" w:bottom="1361"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3265829"/>
      <w:docPartObj>
        <w:docPartGallery w:val="autotext"/>
      </w:docPartObj>
    </w:sdtPr>
    <w:sdtContent>
      <w:p w14:paraId="4A05A63A">
        <w:pPr>
          <w:pStyle w:val="6"/>
          <w:jc w:val="center"/>
        </w:pPr>
        <w:r>
          <w:fldChar w:fldCharType="begin"/>
        </w:r>
        <w:r>
          <w:instrText xml:space="preserve">PAGE   \* MERGEFORMAT</w:instrText>
        </w:r>
        <w:r>
          <w:fldChar w:fldCharType="separate"/>
        </w:r>
        <w:r>
          <w:rPr>
            <w:lang w:val="zh-CN"/>
          </w:rPr>
          <w:t>4</w:t>
        </w:r>
        <w:r>
          <w:fldChar w:fldCharType="end"/>
        </w:r>
      </w:p>
    </w:sdtContent>
  </w:sdt>
  <w:p w14:paraId="460922FE">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6660DB"/>
    <w:multiLevelType w:val="multilevel"/>
    <w:tmpl w:val="526660DB"/>
    <w:lvl w:ilvl="0" w:tentative="0">
      <w:start w:val="1"/>
      <w:numFmt w:val="decimal"/>
      <w:lvlText w:val="%1."/>
      <w:lvlJc w:val="left"/>
      <w:pPr>
        <w:ind w:left="675" w:hanging="360"/>
      </w:pPr>
      <w:rPr>
        <w:rFonts w:hint="default"/>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UyMTQ0N2ZkZmM1ZTkzODM1MWQ0NmRkYjA4ZjA3YjEifQ=="/>
  </w:docVars>
  <w:rsids>
    <w:rsidRoot w:val="002E04E7"/>
    <w:rsid w:val="00010504"/>
    <w:rsid w:val="00011B1B"/>
    <w:rsid w:val="00031E6A"/>
    <w:rsid w:val="00053BFA"/>
    <w:rsid w:val="000573C2"/>
    <w:rsid w:val="00063633"/>
    <w:rsid w:val="00082F79"/>
    <w:rsid w:val="00091F02"/>
    <w:rsid w:val="00092390"/>
    <w:rsid w:val="000A3BDB"/>
    <w:rsid w:val="000A3F8B"/>
    <w:rsid w:val="000A5E6A"/>
    <w:rsid w:val="000B7A6C"/>
    <w:rsid w:val="000D07CF"/>
    <w:rsid w:val="000D66B1"/>
    <w:rsid w:val="001012DD"/>
    <w:rsid w:val="00102B4E"/>
    <w:rsid w:val="00104BF1"/>
    <w:rsid w:val="00111190"/>
    <w:rsid w:val="00123344"/>
    <w:rsid w:val="001306F8"/>
    <w:rsid w:val="00157AB7"/>
    <w:rsid w:val="00163148"/>
    <w:rsid w:val="00167568"/>
    <w:rsid w:val="00182DEC"/>
    <w:rsid w:val="00186D4C"/>
    <w:rsid w:val="0019305C"/>
    <w:rsid w:val="001954EB"/>
    <w:rsid w:val="001C2D78"/>
    <w:rsid w:val="001E6086"/>
    <w:rsid w:val="001E78FD"/>
    <w:rsid w:val="001F2869"/>
    <w:rsid w:val="001F492E"/>
    <w:rsid w:val="00210879"/>
    <w:rsid w:val="002174B4"/>
    <w:rsid w:val="00261CC1"/>
    <w:rsid w:val="0029399E"/>
    <w:rsid w:val="00294477"/>
    <w:rsid w:val="00295565"/>
    <w:rsid w:val="002976C2"/>
    <w:rsid w:val="002A4727"/>
    <w:rsid w:val="002B4F02"/>
    <w:rsid w:val="002C6C46"/>
    <w:rsid w:val="002E04E7"/>
    <w:rsid w:val="002F4798"/>
    <w:rsid w:val="0031400E"/>
    <w:rsid w:val="00330B99"/>
    <w:rsid w:val="00336C73"/>
    <w:rsid w:val="0034164F"/>
    <w:rsid w:val="00342EAC"/>
    <w:rsid w:val="003502AF"/>
    <w:rsid w:val="003527C4"/>
    <w:rsid w:val="00363AD7"/>
    <w:rsid w:val="00387BD5"/>
    <w:rsid w:val="0039296B"/>
    <w:rsid w:val="003C3070"/>
    <w:rsid w:val="003C61A3"/>
    <w:rsid w:val="003C7DC4"/>
    <w:rsid w:val="003D45A1"/>
    <w:rsid w:val="003E4EFA"/>
    <w:rsid w:val="003F317A"/>
    <w:rsid w:val="003F3708"/>
    <w:rsid w:val="003F7A6D"/>
    <w:rsid w:val="00413AB8"/>
    <w:rsid w:val="00415BCD"/>
    <w:rsid w:val="0048799D"/>
    <w:rsid w:val="00491FED"/>
    <w:rsid w:val="00497E97"/>
    <w:rsid w:val="004B6C10"/>
    <w:rsid w:val="004C7029"/>
    <w:rsid w:val="004C73F7"/>
    <w:rsid w:val="004D1B65"/>
    <w:rsid w:val="004E0CE6"/>
    <w:rsid w:val="004F6748"/>
    <w:rsid w:val="005003A0"/>
    <w:rsid w:val="00504B92"/>
    <w:rsid w:val="00516130"/>
    <w:rsid w:val="00526A10"/>
    <w:rsid w:val="00534423"/>
    <w:rsid w:val="00534B33"/>
    <w:rsid w:val="00545844"/>
    <w:rsid w:val="005536B5"/>
    <w:rsid w:val="00555861"/>
    <w:rsid w:val="0056018F"/>
    <w:rsid w:val="005677FD"/>
    <w:rsid w:val="00575A8E"/>
    <w:rsid w:val="00580DBE"/>
    <w:rsid w:val="005A5ED9"/>
    <w:rsid w:val="005B4067"/>
    <w:rsid w:val="005C4A77"/>
    <w:rsid w:val="005C5E8E"/>
    <w:rsid w:val="005D53A2"/>
    <w:rsid w:val="005D7C57"/>
    <w:rsid w:val="005E5A81"/>
    <w:rsid w:val="00611757"/>
    <w:rsid w:val="006159A3"/>
    <w:rsid w:val="006506DB"/>
    <w:rsid w:val="00655FB3"/>
    <w:rsid w:val="00662044"/>
    <w:rsid w:val="006709EA"/>
    <w:rsid w:val="00672D7B"/>
    <w:rsid w:val="00676600"/>
    <w:rsid w:val="00681FD2"/>
    <w:rsid w:val="00683125"/>
    <w:rsid w:val="006C598D"/>
    <w:rsid w:val="006D0BEE"/>
    <w:rsid w:val="006D57B7"/>
    <w:rsid w:val="006F555A"/>
    <w:rsid w:val="006F5B28"/>
    <w:rsid w:val="007009A3"/>
    <w:rsid w:val="00700F3E"/>
    <w:rsid w:val="007142C0"/>
    <w:rsid w:val="0072047E"/>
    <w:rsid w:val="00743761"/>
    <w:rsid w:val="00763723"/>
    <w:rsid w:val="00763EBF"/>
    <w:rsid w:val="00765261"/>
    <w:rsid w:val="00773412"/>
    <w:rsid w:val="007B49E0"/>
    <w:rsid w:val="007C3D58"/>
    <w:rsid w:val="007C64F7"/>
    <w:rsid w:val="007D252A"/>
    <w:rsid w:val="007F454B"/>
    <w:rsid w:val="008009F9"/>
    <w:rsid w:val="0081361D"/>
    <w:rsid w:val="00816F0C"/>
    <w:rsid w:val="008321B2"/>
    <w:rsid w:val="008520A5"/>
    <w:rsid w:val="008529FC"/>
    <w:rsid w:val="008565D0"/>
    <w:rsid w:val="008604CC"/>
    <w:rsid w:val="00867249"/>
    <w:rsid w:val="00881001"/>
    <w:rsid w:val="0089511D"/>
    <w:rsid w:val="008A696A"/>
    <w:rsid w:val="008A7930"/>
    <w:rsid w:val="008C4DD8"/>
    <w:rsid w:val="008D75DD"/>
    <w:rsid w:val="008E4011"/>
    <w:rsid w:val="00916E2B"/>
    <w:rsid w:val="009170BC"/>
    <w:rsid w:val="009241E9"/>
    <w:rsid w:val="00924FAF"/>
    <w:rsid w:val="00933240"/>
    <w:rsid w:val="00943C35"/>
    <w:rsid w:val="00944169"/>
    <w:rsid w:val="00953883"/>
    <w:rsid w:val="009579AA"/>
    <w:rsid w:val="009759DA"/>
    <w:rsid w:val="00980398"/>
    <w:rsid w:val="0098040C"/>
    <w:rsid w:val="00980E48"/>
    <w:rsid w:val="009864A2"/>
    <w:rsid w:val="00993CAA"/>
    <w:rsid w:val="00996A8B"/>
    <w:rsid w:val="009A29B3"/>
    <w:rsid w:val="009B65D8"/>
    <w:rsid w:val="009B66F3"/>
    <w:rsid w:val="009C1345"/>
    <w:rsid w:val="009C328C"/>
    <w:rsid w:val="009D4CCE"/>
    <w:rsid w:val="009E3506"/>
    <w:rsid w:val="009F3264"/>
    <w:rsid w:val="009F3540"/>
    <w:rsid w:val="009F61EF"/>
    <w:rsid w:val="009F70E9"/>
    <w:rsid w:val="00A0113B"/>
    <w:rsid w:val="00A13823"/>
    <w:rsid w:val="00A138C0"/>
    <w:rsid w:val="00A16152"/>
    <w:rsid w:val="00A22907"/>
    <w:rsid w:val="00A270A6"/>
    <w:rsid w:val="00A658A0"/>
    <w:rsid w:val="00A8069D"/>
    <w:rsid w:val="00A82B64"/>
    <w:rsid w:val="00A94A00"/>
    <w:rsid w:val="00A952BD"/>
    <w:rsid w:val="00AA5D95"/>
    <w:rsid w:val="00AE095F"/>
    <w:rsid w:val="00AE7CBB"/>
    <w:rsid w:val="00AF1A4E"/>
    <w:rsid w:val="00B12EDC"/>
    <w:rsid w:val="00B21336"/>
    <w:rsid w:val="00B33B8E"/>
    <w:rsid w:val="00B41510"/>
    <w:rsid w:val="00B50EEA"/>
    <w:rsid w:val="00B62944"/>
    <w:rsid w:val="00B712A0"/>
    <w:rsid w:val="00B766D9"/>
    <w:rsid w:val="00B87F13"/>
    <w:rsid w:val="00BB4D80"/>
    <w:rsid w:val="00BD0B88"/>
    <w:rsid w:val="00BD7FFD"/>
    <w:rsid w:val="00BE0214"/>
    <w:rsid w:val="00BE62CC"/>
    <w:rsid w:val="00C00677"/>
    <w:rsid w:val="00C103FF"/>
    <w:rsid w:val="00C41333"/>
    <w:rsid w:val="00C51BF6"/>
    <w:rsid w:val="00C71161"/>
    <w:rsid w:val="00C73E40"/>
    <w:rsid w:val="00C954D5"/>
    <w:rsid w:val="00CA149C"/>
    <w:rsid w:val="00CA1A19"/>
    <w:rsid w:val="00CA467A"/>
    <w:rsid w:val="00CA5D37"/>
    <w:rsid w:val="00CB1B16"/>
    <w:rsid w:val="00CB3544"/>
    <w:rsid w:val="00CD55B0"/>
    <w:rsid w:val="00D00B0A"/>
    <w:rsid w:val="00D32396"/>
    <w:rsid w:val="00D50B16"/>
    <w:rsid w:val="00D62B9D"/>
    <w:rsid w:val="00D7167C"/>
    <w:rsid w:val="00D76FC2"/>
    <w:rsid w:val="00D84339"/>
    <w:rsid w:val="00DC1D5E"/>
    <w:rsid w:val="00DC6446"/>
    <w:rsid w:val="00DD27AE"/>
    <w:rsid w:val="00DD3845"/>
    <w:rsid w:val="00DE54D0"/>
    <w:rsid w:val="00DF1373"/>
    <w:rsid w:val="00E06604"/>
    <w:rsid w:val="00E15B38"/>
    <w:rsid w:val="00E33C60"/>
    <w:rsid w:val="00E36734"/>
    <w:rsid w:val="00E40343"/>
    <w:rsid w:val="00E568BA"/>
    <w:rsid w:val="00E57055"/>
    <w:rsid w:val="00E61A14"/>
    <w:rsid w:val="00E651FD"/>
    <w:rsid w:val="00E72D13"/>
    <w:rsid w:val="00E835D0"/>
    <w:rsid w:val="00E96826"/>
    <w:rsid w:val="00EA1103"/>
    <w:rsid w:val="00EA3F02"/>
    <w:rsid w:val="00EA4819"/>
    <w:rsid w:val="00EB090E"/>
    <w:rsid w:val="00EB64AF"/>
    <w:rsid w:val="00EC673D"/>
    <w:rsid w:val="00ED2A42"/>
    <w:rsid w:val="00ED4F74"/>
    <w:rsid w:val="00EE34B7"/>
    <w:rsid w:val="00EF4824"/>
    <w:rsid w:val="00F11C30"/>
    <w:rsid w:val="00F23335"/>
    <w:rsid w:val="00F31B7E"/>
    <w:rsid w:val="00F36892"/>
    <w:rsid w:val="00F61798"/>
    <w:rsid w:val="00F71BD9"/>
    <w:rsid w:val="00F7672D"/>
    <w:rsid w:val="00F81627"/>
    <w:rsid w:val="00F86667"/>
    <w:rsid w:val="00FB0EF3"/>
    <w:rsid w:val="00FC074A"/>
    <w:rsid w:val="00FE23DC"/>
    <w:rsid w:val="00FE56B4"/>
    <w:rsid w:val="08541288"/>
    <w:rsid w:val="145C09BD"/>
    <w:rsid w:val="1D4F47B0"/>
    <w:rsid w:val="2805772D"/>
    <w:rsid w:val="31925353"/>
    <w:rsid w:val="34530290"/>
    <w:rsid w:val="421E7B88"/>
    <w:rsid w:val="57A1590C"/>
    <w:rsid w:val="66CE47C2"/>
    <w:rsid w:val="72B83B92"/>
    <w:rsid w:val="77A14F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uiPriority w:val="99"/>
    <w:pPr>
      <w:jc w:val="left"/>
    </w:pPr>
  </w:style>
  <w:style w:type="paragraph" w:styleId="4">
    <w:name w:val="Plain Text"/>
    <w:basedOn w:val="1"/>
    <w:link w:val="16"/>
    <w:semiHidden/>
    <w:unhideWhenUsed/>
    <w:qFormat/>
    <w:uiPriority w:val="0"/>
    <w:rPr>
      <w:rFonts w:ascii="宋体" w:hAnsi="Courier New" w:cs="Courier New"/>
      <w:kern w:val="0"/>
      <w:sz w:val="20"/>
      <w:szCs w:val="21"/>
    </w:rPr>
  </w:style>
  <w:style w:type="paragraph" w:styleId="5">
    <w:name w:val="Balloon Text"/>
    <w:basedOn w:val="1"/>
    <w:link w:val="12"/>
    <w:semiHidden/>
    <w:unhideWhenUsed/>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semiHidden/>
    <w:unhideWhenUsed/>
    <w:uiPriority w:val="99"/>
    <w:rPr>
      <w:sz w:val="21"/>
      <w:szCs w:val="21"/>
    </w:rPr>
  </w:style>
  <w:style w:type="character" w:customStyle="1" w:styleId="11">
    <w:name w:val="标题 2 Char"/>
    <w:basedOn w:val="9"/>
    <w:link w:val="2"/>
    <w:qFormat/>
    <w:uiPriority w:val="0"/>
    <w:rPr>
      <w:rFonts w:ascii="Arial" w:hAnsi="Arial" w:eastAsia="黑体" w:cs="Times New Roman"/>
      <w:b/>
      <w:bCs/>
      <w:sz w:val="32"/>
      <w:szCs w:val="32"/>
    </w:rPr>
  </w:style>
  <w:style w:type="character" w:customStyle="1" w:styleId="12">
    <w:name w:val="批注框文本 Char"/>
    <w:basedOn w:val="9"/>
    <w:link w:val="5"/>
    <w:semiHidden/>
    <w:uiPriority w:val="99"/>
    <w:rPr>
      <w:kern w:val="2"/>
      <w:sz w:val="18"/>
      <w:szCs w:val="18"/>
    </w:rPr>
  </w:style>
  <w:style w:type="character" w:customStyle="1" w:styleId="13">
    <w:name w:val="页眉 Char"/>
    <w:basedOn w:val="9"/>
    <w:link w:val="7"/>
    <w:qFormat/>
    <w:uiPriority w:val="99"/>
    <w:rPr>
      <w:kern w:val="2"/>
      <w:sz w:val="18"/>
      <w:szCs w:val="18"/>
    </w:rPr>
  </w:style>
  <w:style w:type="character" w:customStyle="1" w:styleId="14">
    <w:name w:val="页脚 Char"/>
    <w:basedOn w:val="9"/>
    <w:link w:val="6"/>
    <w:uiPriority w:val="99"/>
    <w:rPr>
      <w:kern w:val="2"/>
      <w:sz w:val="18"/>
      <w:szCs w:val="18"/>
    </w:rPr>
  </w:style>
  <w:style w:type="character" w:customStyle="1" w:styleId="15">
    <w:name w:val="纯文本 Char"/>
    <w:basedOn w:val="9"/>
    <w:semiHidden/>
    <w:qFormat/>
    <w:uiPriority w:val="99"/>
    <w:rPr>
      <w:rFonts w:ascii="宋体" w:hAnsi="Courier New" w:cs="Courier New"/>
      <w:kern w:val="2"/>
      <w:sz w:val="21"/>
      <w:szCs w:val="21"/>
    </w:rPr>
  </w:style>
  <w:style w:type="character" w:customStyle="1" w:styleId="16">
    <w:name w:val="纯文本 Char1"/>
    <w:basedOn w:val="9"/>
    <w:link w:val="4"/>
    <w:semiHidden/>
    <w:locked/>
    <w:uiPriority w:val="0"/>
    <w:rPr>
      <w:rFonts w:ascii="宋体" w:hAnsi="Courier New" w:cs="Courier New"/>
      <w:szCs w:val="21"/>
    </w:rPr>
  </w:style>
  <w:style w:type="paragraph" w:customStyle="1" w:styleId="17">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styleId="1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06A74-7087-4E93-B616-D0B03B553FF6}">
  <ds:schemaRefs/>
</ds:datastoreItem>
</file>

<file path=docProps/app.xml><?xml version="1.0" encoding="utf-8"?>
<Properties xmlns="http://schemas.openxmlformats.org/officeDocument/2006/extended-properties" xmlns:vt="http://schemas.openxmlformats.org/officeDocument/2006/docPropsVTypes">
  <Template>Normal</Template>
  <Company>admin</Company>
  <Pages>4</Pages>
  <Words>3539</Words>
  <Characters>3752</Characters>
  <Lines>30</Lines>
  <Paragraphs>8</Paragraphs>
  <TotalTime>4</TotalTime>
  <ScaleCrop>false</ScaleCrop>
  <LinksUpToDate>false</LinksUpToDate>
  <CharactersWithSpaces>4035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2021-03-19T09:27:00Z</dcterms:created>
  <dc:creator>Lenovo</dc:creator>
  <cp:lastModifiedBy>霞</cp:lastModifiedBy>
  <dcterms:modified xsi:type="dcterms:W3CDTF">2025-05-29T02:20:52Z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E78886490DCB413C85ACFC8213B13723_12</vt:lpwstr>
  </property>
  <property fmtid="{D5CDD505-2E9C-101B-9397-08002B2CF9AE}" pid="4" name="KSOTemplateDocerSaveRecord">
    <vt:lpwstr>eyJoZGlkIjoiYWViZTQ3NDJjMDkyMzUwODc5YTNjNTA4ZjE4MmY1NzQiLCJ1c2VySWQiOiI5MDYwMjc5MTgifQ==</vt:lpwstr>
  </property>
</Properties>
</file>