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jc w:val="center"/>
        <w:rPr>
          <w:rFonts w:ascii="方正小标宋简体" w:hAnsi="方正小标宋简体" w:eastAsia="方正小标宋简体" w:cs="方正小标宋简体"/>
          <w:color w:val="333333"/>
          <w:kern w:val="0"/>
          <w:sz w:val="44"/>
          <w:szCs w:val="44"/>
        </w:rPr>
      </w:pPr>
      <w:r>
        <w:rPr>
          <w:rFonts w:hint="eastAsia" w:ascii="方正小标宋简体" w:hAnsi="方正小标宋简体" w:eastAsia="方正小标宋简体" w:cs="方正小标宋简体"/>
          <w:color w:val="333333"/>
          <w:kern w:val="0"/>
          <w:sz w:val="44"/>
          <w:szCs w:val="44"/>
        </w:rPr>
        <w:t>关于“周治德团队”成果转化项目现金奖励信息公示</w:t>
      </w:r>
    </w:p>
    <w:p>
      <w:pPr>
        <w:widowControl/>
        <w:spacing w:line="500" w:lineRule="exact"/>
        <w:rPr>
          <w:rFonts w:ascii="仿宋_GB2312" w:hAnsi="仿宋_GB2312" w:eastAsia="仿宋_GB2312" w:cs="仿宋_GB2312"/>
          <w:color w:val="000000"/>
          <w:kern w:val="0"/>
          <w:sz w:val="28"/>
          <w:szCs w:val="28"/>
        </w:rPr>
      </w:pPr>
    </w:p>
    <w:p>
      <w:pPr>
        <w:keepLines/>
        <w:spacing w:line="440" w:lineRule="exact"/>
        <w:ind w:firstLine="562" w:firstLineChars="200"/>
        <w:jc w:val="center"/>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rPr>
        <w:t>成奖</w:t>
      </w:r>
      <w:r>
        <w:rPr>
          <w:rFonts w:hint="eastAsia" w:ascii="仿宋" w:hAnsi="仿宋" w:eastAsia="仿宋" w:cs="仿宋"/>
          <w:b/>
          <w:bCs/>
          <w:color w:val="auto"/>
          <w:kern w:val="0"/>
          <w:sz w:val="28"/>
          <w:szCs w:val="28"/>
          <w:highlight w:val="none"/>
          <w:lang w:val="en-US" w:eastAsia="zh-CN"/>
        </w:rPr>
        <w:t>专</w:t>
      </w:r>
      <w:r>
        <w:rPr>
          <w:rFonts w:hint="eastAsia" w:ascii="仿宋" w:hAnsi="仿宋" w:eastAsia="仿宋" w:cs="仿宋"/>
          <w:b/>
          <w:bCs/>
          <w:color w:val="auto"/>
          <w:kern w:val="0"/>
          <w:sz w:val="28"/>
          <w:szCs w:val="28"/>
          <w:highlight w:val="none"/>
        </w:rPr>
        <w:t>〔2023〕</w:t>
      </w:r>
      <w:r>
        <w:rPr>
          <w:rFonts w:hint="eastAsia" w:ascii="仿宋" w:hAnsi="仿宋" w:eastAsia="仿宋" w:cs="仿宋"/>
          <w:b/>
          <w:bCs/>
          <w:color w:val="auto"/>
          <w:kern w:val="0"/>
          <w:sz w:val="28"/>
          <w:szCs w:val="28"/>
          <w:highlight w:val="none"/>
          <w:lang w:val="en-US" w:eastAsia="zh-CN"/>
        </w:rPr>
        <w:t>23</w:t>
      </w:r>
      <w:r>
        <w:rPr>
          <w:rFonts w:hint="eastAsia" w:ascii="仿宋" w:hAnsi="仿宋" w:eastAsia="仿宋" w:cs="仿宋"/>
          <w:b/>
          <w:bCs/>
          <w:color w:val="auto"/>
          <w:kern w:val="0"/>
          <w:sz w:val="28"/>
          <w:szCs w:val="28"/>
          <w:highlight w:val="none"/>
        </w:rPr>
        <w:t>号</w:t>
      </w:r>
    </w:p>
    <w:p>
      <w:pPr>
        <w:keepLines/>
        <w:spacing w:line="440" w:lineRule="exact"/>
        <w:ind w:firstLine="560" w:firstLineChars="20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根据《关于科技人员取得职务科技成果转化现金奖励信息公示办法的通知》（国科发政〔2018〕103号）和《桂林电子科技大学科技成果转化现金收益奖励办法（试行）》（桂电科〔2020〕18号）的规定文件要求，现对我校职务科技成果周治德团队的职务科技成果转化现金奖励相关信息公示如下:</w:t>
      </w:r>
    </w:p>
    <w:p>
      <w:pPr>
        <w:keepLines/>
        <w:spacing w:line="440" w:lineRule="exact"/>
        <w:ind w:firstLine="560" w:firstLineChars="200"/>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一、</w:t>
      </w:r>
      <w:r>
        <w:rPr>
          <w:rFonts w:hint="eastAsia" w:ascii="仿宋" w:hAnsi="仿宋" w:eastAsia="仿宋" w:cs="仿宋"/>
          <w:b/>
          <w:bCs/>
          <w:color w:val="000000"/>
          <w:kern w:val="0"/>
          <w:sz w:val="28"/>
          <w:szCs w:val="28"/>
        </w:rPr>
        <w:t>科技成果转化简介</w:t>
      </w:r>
    </w:p>
    <w:p>
      <w:pPr>
        <w:keepLines/>
        <w:spacing w:line="440" w:lineRule="exact"/>
        <w:ind w:firstLine="560" w:firstLineChars="200"/>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(一) 成果名称</w:t>
      </w:r>
    </w:p>
    <w:p>
      <w:pPr>
        <w:keepLines/>
        <w:spacing w:line="5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(一) 成果名称</w:t>
      </w:r>
    </w:p>
    <w:tbl>
      <w:tblPr>
        <w:tblStyle w:val="8"/>
        <w:tblW w:w="0" w:type="auto"/>
        <w:tblInd w:w="-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
        <w:gridCol w:w="3411"/>
        <w:gridCol w:w="2166"/>
        <w:gridCol w:w="2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dxa"/>
          </w:tcPr>
          <w:p>
            <w:pPr>
              <w:keepLines/>
              <w:spacing w:line="500" w:lineRule="exact"/>
              <w:jc w:val="center"/>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序号</w:t>
            </w:r>
          </w:p>
        </w:tc>
        <w:tc>
          <w:tcPr>
            <w:tcW w:w="3411" w:type="dxa"/>
          </w:tcPr>
          <w:p>
            <w:pPr>
              <w:keepLines/>
              <w:spacing w:line="500" w:lineRule="exact"/>
              <w:jc w:val="center"/>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专利名称</w:t>
            </w:r>
          </w:p>
        </w:tc>
        <w:tc>
          <w:tcPr>
            <w:tcW w:w="2166" w:type="dxa"/>
          </w:tcPr>
          <w:p>
            <w:pPr>
              <w:keepLines/>
              <w:spacing w:line="500" w:lineRule="exact"/>
              <w:jc w:val="center"/>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专利号</w:t>
            </w:r>
          </w:p>
        </w:tc>
        <w:tc>
          <w:tcPr>
            <w:tcW w:w="2173" w:type="dxa"/>
          </w:tcPr>
          <w:p>
            <w:pPr>
              <w:keepLines/>
              <w:spacing w:line="500" w:lineRule="exact"/>
              <w:jc w:val="center"/>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发明人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dxa"/>
            <w:vAlign w:val="center"/>
          </w:tcPr>
          <w:p>
            <w:pPr>
              <w:keepLines/>
              <w:spacing w:line="500" w:lineRule="exact"/>
              <w:jc w:val="center"/>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1</w:t>
            </w:r>
          </w:p>
        </w:tc>
        <w:tc>
          <w:tcPr>
            <w:tcW w:w="3411" w:type="dxa"/>
            <w:vAlign w:val="center"/>
          </w:tcPr>
          <w:p>
            <w:pPr>
              <w:snapToGrid w:val="0"/>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-种基于纳米复合材料构建夹心型适配体传感器检测GPC3的方法</w:t>
            </w:r>
          </w:p>
        </w:tc>
        <w:tc>
          <w:tcPr>
            <w:tcW w:w="2166" w:type="dxa"/>
            <w:vAlign w:val="center"/>
          </w:tcPr>
          <w:p>
            <w:pPr>
              <w:snapToGrid w:val="0"/>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ZL202210433955.0</w:t>
            </w:r>
          </w:p>
        </w:tc>
        <w:tc>
          <w:tcPr>
            <w:tcW w:w="2173" w:type="dxa"/>
          </w:tcPr>
          <w:p>
            <w:pPr>
              <w:snapToGrid w:val="0"/>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李桂银;王博;连梅;包铭铭;周治德;梁晋涛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dxa"/>
            <w:vAlign w:val="center"/>
          </w:tcPr>
          <w:p>
            <w:pPr>
              <w:keepLines/>
              <w:spacing w:line="500" w:lineRule="exact"/>
              <w:jc w:val="center"/>
              <w:rPr>
                <w:rFonts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2</w:t>
            </w:r>
          </w:p>
        </w:tc>
        <w:tc>
          <w:tcPr>
            <w:tcW w:w="3411" w:type="dxa"/>
            <w:vAlign w:val="center"/>
          </w:tcPr>
          <w:p>
            <w:pPr>
              <w:widowControl/>
              <w:jc w:val="left"/>
              <w:textAlignment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基于RG0-CMCS-Hemin/PtPd NPs比色传感器检测GP73的方法</w:t>
            </w:r>
          </w:p>
        </w:tc>
        <w:tc>
          <w:tcPr>
            <w:tcW w:w="2166" w:type="dxa"/>
            <w:vAlign w:val="center"/>
          </w:tcPr>
          <w:p>
            <w:pPr>
              <w:widowControl/>
              <w:jc w:val="left"/>
              <w:textAlignment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ZL202210420018.1</w:t>
            </w:r>
          </w:p>
        </w:tc>
        <w:tc>
          <w:tcPr>
            <w:tcW w:w="2173" w:type="dxa"/>
            <w:vAlign w:val="center"/>
          </w:tcPr>
          <w:p>
            <w:pPr>
              <w:snapToGrid w:val="0"/>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李桂银;李鑫镐;吕秋彦;李胜男;李海媚;周治德;梁晋涛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dxa"/>
            <w:vAlign w:val="top"/>
          </w:tcPr>
          <w:p>
            <w:pPr>
              <w:keepLines/>
              <w:spacing w:line="500" w:lineRule="exact"/>
              <w:jc w:val="center"/>
              <w:rPr>
                <w:rFonts w:hint="default" w:ascii="仿宋_GB2312" w:hAnsi="仿宋_GB2312" w:eastAsia="仿宋_GB2312" w:cs="仿宋_GB2312"/>
                <w:color w:val="auto"/>
                <w:kern w:val="0"/>
                <w:sz w:val="24"/>
                <w:szCs w:val="24"/>
                <w:highlight w:val="none"/>
                <w:lang w:val="en-US" w:eastAsia="zh-CN" w:bidi="ar-SA"/>
              </w:rPr>
            </w:pPr>
            <w:r>
              <w:rPr>
                <w:rFonts w:hint="eastAsia" w:ascii="仿宋_GB2312" w:hAnsi="仿宋_GB2312" w:eastAsia="仿宋_GB2312" w:cs="仿宋_GB2312"/>
                <w:color w:val="auto"/>
                <w:kern w:val="0"/>
                <w:sz w:val="24"/>
                <w:szCs w:val="24"/>
                <w:highlight w:val="none"/>
                <w:lang w:val="en-US" w:eastAsia="zh-CN" w:bidi="ar-SA"/>
              </w:rPr>
              <w:t>3</w:t>
            </w:r>
          </w:p>
        </w:tc>
        <w:tc>
          <w:tcPr>
            <w:tcW w:w="3411" w:type="dxa"/>
            <w:vAlign w:val="top"/>
          </w:tcPr>
          <w:p>
            <w:pPr>
              <w:keepLines/>
              <w:spacing w:line="500" w:lineRule="exact"/>
              <w:jc w:val="center"/>
              <w:rPr>
                <w:rFonts w:hint="eastAsia" w:ascii="仿宋_GB2312" w:hAnsi="仿宋_GB2312" w:eastAsia="仿宋_GB2312" w:cs="仿宋_GB2312"/>
                <w:color w:val="auto"/>
                <w:kern w:val="0"/>
                <w:sz w:val="24"/>
                <w:szCs w:val="24"/>
                <w:highlight w:val="none"/>
                <w:lang w:val="en-US" w:eastAsia="zh-CN" w:bidi="ar-SA"/>
              </w:rPr>
            </w:pPr>
            <w:r>
              <w:rPr>
                <w:rFonts w:hint="eastAsia" w:ascii="仿宋_GB2312" w:hAnsi="仿宋_GB2312" w:eastAsia="仿宋_GB2312" w:cs="仿宋_GB2312"/>
                <w:color w:val="auto"/>
                <w:kern w:val="0"/>
                <w:sz w:val="24"/>
                <w:szCs w:val="24"/>
                <w:highlight w:val="none"/>
              </w:rPr>
              <w:t>一种基于H-rGO-Pt@Pd NPs纳米酶可视化检测GPC3的方法</w:t>
            </w:r>
          </w:p>
        </w:tc>
        <w:tc>
          <w:tcPr>
            <w:tcW w:w="2166" w:type="dxa"/>
            <w:vAlign w:val="top"/>
          </w:tcPr>
          <w:p>
            <w:pPr>
              <w:keepLines/>
              <w:spacing w:line="500" w:lineRule="exact"/>
              <w:jc w:val="left"/>
              <w:rPr>
                <w:rFonts w:hint="eastAsia" w:ascii="仿宋_GB2312" w:hAnsi="仿宋_GB2312" w:eastAsia="仿宋_GB2312" w:cs="仿宋_GB2312"/>
                <w:color w:val="auto"/>
                <w:kern w:val="0"/>
                <w:sz w:val="24"/>
                <w:szCs w:val="24"/>
                <w:highlight w:val="none"/>
                <w:lang w:val="en-US" w:eastAsia="zh-CN" w:bidi="ar-SA"/>
              </w:rPr>
            </w:pPr>
            <w:r>
              <w:rPr>
                <w:rFonts w:ascii="仿宋_GB2312" w:hAnsi="仿宋_GB2312" w:eastAsia="仿宋_GB2312" w:cs="仿宋_GB2312"/>
                <w:color w:val="auto"/>
                <w:kern w:val="0"/>
                <w:sz w:val="24"/>
                <w:szCs w:val="24"/>
                <w:highlight w:val="none"/>
              </w:rPr>
              <w:t>ZL202110522012.0</w:t>
            </w:r>
          </w:p>
        </w:tc>
        <w:tc>
          <w:tcPr>
            <w:tcW w:w="2173" w:type="dxa"/>
            <w:vAlign w:val="top"/>
          </w:tcPr>
          <w:p>
            <w:pPr>
              <w:keepLines/>
              <w:spacing w:line="500" w:lineRule="exact"/>
              <w:jc w:val="left"/>
              <w:rPr>
                <w:rFonts w:hint="eastAsia" w:ascii="仿宋_GB2312" w:hAnsi="仿宋_GB2312" w:eastAsia="仿宋_GB2312" w:cs="仿宋_GB2312"/>
                <w:color w:val="auto"/>
                <w:kern w:val="0"/>
                <w:sz w:val="24"/>
                <w:szCs w:val="24"/>
                <w:highlight w:val="none"/>
                <w:lang w:val="en-US" w:eastAsia="zh-CN" w:bidi="ar-SA"/>
              </w:rPr>
            </w:pPr>
            <w:r>
              <w:rPr>
                <w:rFonts w:hint="eastAsia" w:ascii="仿宋_GB2312" w:hAnsi="仿宋_GB2312" w:eastAsia="仿宋_GB2312" w:cs="仿宋_GB2312"/>
                <w:color w:val="auto"/>
                <w:kern w:val="0"/>
                <w:sz w:val="24"/>
                <w:szCs w:val="24"/>
                <w:highlight w:val="none"/>
              </w:rPr>
              <w:t>李桂银、陈敏、何利翁、王博、周治德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dxa"/>
            <w:vAlign w:val="top"/>
          </w:tcPr>
          <w:p>
            <w:pPr>
              <w:keepLines/>
              <w:spacing w:line="500" w:lineRule="exact"/>
              <w:jc w:val="center"/>
              <w:rPr>
                <w:rFonts w:hint="default" w:ascii="仿宋_GB2312" w:hAnsi="仿宋_GB2312" w:eastAsia="仿宋_GB2312" w:cs="仿宋_GB2312"/>
                <w:color w:val="auto"/>
                <w:kern w:val="0"/>
                <w:sz w:val="24"/>
                <w:szCs w:val="24"/>
                <w:highlight w:val="none"/>
                <w:lang w:val="en-US" w:eastAsia="zh-CN" w:bidi="ar-SA"/>
              </w:rPr>
            </w:pPr>
            <w:r>
              <w:rPr>
                <w:rFonts w:hint="eastAsia" w:ascii="仿宋_GB2312" w:hAnsi="仿宋_GB2312" w:eastAsia="仿宋_GB2312" w:cs="仿宋_GB2312"/>
                <w:color w:val="auto"/>
                <w:kern w:val="0"/>
                <w:sz w:val="24"/>
                <w:szCs w:val="24"/>
                <w:highlight w:val="none"/>
                <w:lang w:val="en-US" w:eastAsia="zh-CN" w:bidi="ar-SA"/>
              </w:rPr>
              <w:t>4</w:t>
            </w:r>
          </w:p>
        </w:tc>
        <w:tc>
          <w:tcPr>
            <w:tcW w:w="3411" w:type="dxa"/>
            <w:vAlign w:val="top"/>
          </w:tcPr>
          <w:p>
            <w:pPr>
              <w:keepLines/>
              <w:spacing w:line="500" w:lineRule="exact"/>
              <w:jc w:val="left"/>
              <w:rPr>
                <w:rFonts w:hint="eastAsia" w:ascii="仿宋_GB2312" w:hAnsi="仿宋_GB2312" w:eastAsia="仿宋_GB2312" w:cs="仿宋_GB2312"/>
                <w:color w:val="auto"/>
                <w:kern w:val="0"/>
                <w:sz w:val="24"/>
                <w:szCs w:val="24"/>
                <w:highlight w:val="none"/>
                <w:lang w:val="en-US" w:eastAsia="zh-CN" w:bidi="ar-SA"/>
              </w:rPr>
            </w:pPr>
            <w:r>
              <w:rPr>
                <w:rFonts w:hint="eastAsia" w:ascii="仿宋_GB2312" w:hAnsi="仿宋_GB2312" w:eastAsia="仿宋_GB2312" w:cs="仿宋_GB2312"/>
                <w:color w:val="auto"/>
                <w:kern w:val="0"/>
                <w:sz w:val="24"/>
                <w:szCs w:val="24"/>
                <w:highlight w:val="none"/>
              </w:rPr>
              <w:t>一种非诊断目的基于RGO-CS-Hemin@Pt NPs纳米材料和适配体检测GPC3的方法</w:t>
            </w:r>
          </w:p>
        </w:tc>
        <w:tc>
          <w:tcPr>
            <w:tcW w:w="2166" w:type="dxa"/>
            <w:vAlign w:val="top"/>
          </w:tcPr>
          <w:p>
            <w:pPr>
              <w:keepLines/>
              <w:spacing w:line="500" w:lineRule="exact"/>
              <w:jc w:val="left"/>
              <w:rPr>
                <w:rFonts w:hint="eastAsia" w:ascii="仿宋_GB2312" w:hAnsi="仿宋_GB2312" w:eastAsia="仿宋_GB2312" w:cs="仿宋_GB2312"/>
                <w:color w:val="auto"/>
                <w:kern w:val="0"/>
                <w:sz w:val="24"/>
                <w:szCs w:val="24"/>
                <w:highlight w:val="none"/>
                <w:lang w:val="en-US" w:eastAsia="zh-CN" w:bidi="ar-SA"/>
              </w:rPr>
            </w:pPr>
            <w:r>
              <w:rPr>
                <w:rFonts w:ascii="仿宋_GB2312" w:hAnsi="仿宋_GB2312" w:eastAsia="仿宋_GB2312" w:cs="仿宋_GB2312"/>
                <w:color w:val="auto"/>
                <w:kern w:val="0"/>
                <w:sz w:val="24"/>
                <w:szCs w:val="24"/>
                <w:highlight w:val="none"/>
              </w:rPr>
              <w:t>ZL202110521839.X</w:t>
            </w:r>
          </w:p>
        </w:tc>
        <w:tc>
          <w:tcPr>
            <w:tcW w:w="2173" w:type="dxa"/>
            <w:vAlign w:val="top"/>
          </w:tcPr>
          <w:p>
            <w:pPr>
              <w:keepLines/>
              <w:spacing w:line="500" w:lineRule="exact"/>
              <w:jc w:val="left"/>
              <w:rPr>
                <w:rFonts w:hint="eastAsia" w:ascii="仿宋_GB2312" w:hAnsi="仿宋_GB2312" w:eastAsia="仿宋_GB2312" w:cs="仿宋_GB2312"/>
                <w:color w:val="auto"/>
                <w:kern w:val="0"/>
                <w:sz w:val="24"/>
                <w:szCs w:val="24"/>
                <w:highlight w:val="none"/>
                <w:lang w:val="en-US" w:eastAsia="zh-CN" w:bidi="ar-SA"/>
              </w:rPr>
            </w:pPr>
            <w:r>
              <w:rPr>
                <w:rFonts w:hint="eastAsia" w:ascii="仿宋_GB2312" w:hAnsi="仿宋_GB2312" w:eastAsia="仿宋_GB2312" w:cs="仿宋_GB2312"/>
                <w:color w:val="auto"/>
                <w:kern w:val="0"/>
                <w:sz w:val="24"/>
                <w:szCs w:val="24"/>
                <w:highlight w:val="none"/>
              </w:rPr>
              <w:t>李桂银、李文湛、包铭铭、吴冠雄、梁晋涛、周治德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 w:type="dxa"/>
            <w:vAlign w:val="top"/>
          </w:tcPr>
          <w:p>
            <w:pPr>
              <w:keepLines/>
              <w:spacing w:line="500" w:lineRule="exact"/>
              <w:jc w:val="left"/>
              <w:rPr>
                <w:rFonts w:hint="default" w:ascii="仿宋_GB2312" w:hAnsi="仿宋_GB2312" w:eastAsia="仿宋_GB2312" w:cs="仿宋_GB2312"/>
                <w:color w:val="auto"/>
                <w:kern w:val="0"/>
                <w:sz w:val="24"/>
                <w:szCs w:val="24"/>
                <w:highlight w:val="none"/>
                <w:lang w:val="en-US" w:eastAsia="zh-CN" w:bidi="ar-SA"/>
              </w:rPr>
            </w:pPr>
            <w:r>
              <w:rPr>
                <w:rFonts w:hint="eastAsia" w:ascii="仿宋_GB2312" w:hAnsi="仿宋_GB2312" w:eastAsia="仿宋_GB2312" w:cs="仿宋_GB2312"/>
                <w:color w:val="auto"/>
                <w:kern w:val="0"/>
                <w:sz w:val="24"/>
                <w:szCs w:val="24"/>
                <w:highlight w:val="none"/>
                <w:lang w:val="en-US" w:eastAsia="zh-CN" w:bidi="ar-SA"/>
              </w:rPr>
              <w:t>5</w:t>
            </w:r>
          </w:p>
        </w:tc>
        <w:tc>
          <w:tcPr>
            <w:tcW w:w="3411" w:type="dxa"/>
            <w:vAlign w:val="top"/>
          </w:tcPr>
          <w:p>
            <w:pPr>
              <w:keepLines/>
              <w:spacing w:line="500" w:lineRule="exact"/>
              <w:jc w:val="left"/>
              <w:rPr>
                <w:rFonts w:hint="eastAsia" w:ascii="仿宋_GB2312" w:hAnsi="仿宋_GB2312" w:eastAsia="仿宋_GB2312" w:cs="仿宋_GB2312"/>
                <w:color w:val="auto"/>
                <w:kern w:val="0"/>
                <w:sz w:val="24"/>
                <w:szCs w:val="24"/>
                <w:highlight w:val="none"/>
                <w:lang w:val="en-US" w:eastAsia="zh-CN" w:bidi="ar-SA"/>
              </w:rPr>
            </w:pPr>
            <w:r>
              <w:rPr>
                <w:rFonts w:hint="eastAsia" w:ascii="仿宋_GB2312" w:hAnsi="仿宋_GB2312" w:eastAsia="仿宋_GB2312" w:cs="仿宋_GB2312"/>
                <w:color w:val="auto"/>
                <w:kern w:val="0"/>
                <w:sz w:val="24"/>
                <w:szCs w:val="24"/>
                <w:highlight w:val="none"/>
              </w:rPr>
              <w:t>一种非诊断目的基于纳米复合材料的LAPS传感器检测GPC3方法</w:t>
            </w:r>
          </w:p>
        </w:tc>
        <w:tc>
          <w:tcPr>
            <w:tcW w:w="2166" w:type="dxa"/>
            <w:vAlign w:val="top"/>
          </w:tcPr>
          <w:p>
            <w:pPr>
              <w:keepLines/>
              <w:spacing w:line="500" w:lineRule="exact"/>
              <w:jc w:val="left"/>
              <w:rPr>
                <w:rFonts w:hint="eastAsia" w:ascii="仿宋_GB2312" w:hAnsi="仿宋_GB2312" w:eastAsia="仿宋_GB2312" w:cs="仿宋_GB2312"/>
                <w:color w:val="auto"/>
                <w:kern w:val="0"/>
                <w:sz w:val="24"/>
                <w:szCs w:val="24"/>
                <w:highlight w:val="none"/>
                <w:lang w:val="en-US" w:eastAsia="zh-CN" w:bidi="ar-SA"/>
              </w:rPr>
            </w:pPr>
            <w:r>
              <w:rPr>
                <w:rFonts w:ascii="仿宋_GB2312" w:hAnsi="仿宋_GB2312" w:eastAsia="仿宋_GB2312" w:cs="仿宋_GB2312"/>
                <w:color w:val="auto"/>
                <w:kern w:val="0"/>
                <w:sz w:val="24"/>
                <w:szCs w:val="24"/>
                <w:highlight w:val="none"/>
              </w:rPr>
              <w:t>ZL202110537812.X</w:t>
            </w:r>
          </w:p>
        </w:tc>
        <w:tc>
          <w:tcPr>
            <w:tcW w:w="2173" w:type="dxa"/>
            <w:vAlign w:val="top"/>
          </w:tcPr>
          <w:p>
            <w:pPr>
              <w:keepLines/>
              <w:spacing w:line="500" w:lineRule="exact"/>
              <w:jc w:val="left"/>
              <w:rPr>
                <w:rFonts w:hint="eastAsia" w:ascii="仿宋_GB2312" w:hAnsi="仿宋_GB2312" w:eastAsia="仿宋_GB2312" w:cs="仿宋_GB2312"/>
                <w:color w:val="auto"/>
                <w:kern w:val="0"/>
                <w:sz w:val="24"/>
                <w:szCs w:val="24"/>
                <w:highlight w:val="none"/>
                <w:lang w:val="en-US" w:eastAsia="zh-CN" w:bidi="ar-SA"/>
              </w:rPr>
            </w:pPr>
            <w:r>
              <w:rPr>
                <w:rFonts w:hint="eastAsia" w:ascii="仿宋_GB2312" w:hAnsi="仿宋_GB2312" w:eastAsia="仿宋_GB2312" w:cs="仿宋_GB2312"/>
                <w:color w:val="auto"/>
                <w:kern w:val="0"/>
                <w:sz w:val="24"/>
                <w:szCs w:val="24"/>
                <w:highlight w:val="none"/>
              </w:rPr>
              <w:t>李桂银、李文湛、冯华富、陈伟、梁晋涛、周治德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11" w:type="dxa"/>
            <w:vAlign w:val="top"/>
          </w:tcPr>
          <w:p>
            <w:pPr>
              <w:keepLines/>
              <w:spacing w:line="500" w:lineRule="exact"/>
              <w:jc w:val="center"/>
              <w:rPr>
                <w:rFonts w:hint="default" w:ascii="仿宋_GB2312" w:hAnsi="仿宋_GB2312" w:eastAsia="仿宋_GB2312" w:cs="仿宋_GB2312"/>
                <w:color w:val="auto"/>
                <w:kern w:val="0"/>
                <w:sz w:val="24"/>
                <w:szCs w:val="24"/>
                <w:highlight w:val="none"/>
                <w:lang w:val="en-US" w:eastAsia="zh-CN" w:bidi="ar-SA"/>
              </w:rPr>
            </w:pPr>
            <w:r>
              <w:rPr>
                <w:rFonts w:hint="eastAsia" w:ascii="仿宋_GB2312" w:hAnsi="仿宋_GB2312" w:eastAsia="仿宋_GB2312" w:cs="仿宋_GB2312"/>
                <w:color w:val="auto"/>
                <w:kern w:val="0"/>
                <w:sz w:val="24"/>
                <w:szCs w:val="24"/>
                <w:highlight w:val="none"/>
                <w:lang w:val="en-US" w:eastAsia="zh-CN" w:bidi="ar-SA"/>
              </w:rPr>
              <w:t>6</w:t>
            </w:r>
          </w:p>
        </w:tc>
        <w:tc>
          <w:tcPr>
            <w:tcW w:w="3411" w:type="dxa"/>
            <w:vAlign w:val="top"/>
          </w:tcPr>
          <w:p>
            <w:pPr>
              <w:keepLines/>
              <w:spacing w:line="500" w:lineRule="exact"/>
              <w:jc w:val="left"/>
              <w:rPr>
                <w:rFonts w:hint="eastAsia" w:ascii="仿宋_GB2312" w:hAnsi="仿宋_GB2312" w:eastAsia="仿宋_GB2312" w:cs="仿宋_GB2312"/>
                <w:color w:val="auto"/>
                <w:kern w:val="0"/>
                <w:sz w:val="24"/>
                <w:szCs w:val="24"/>
                <w:highlight w:val="none"/>
                <w:lang w:val="en-US" w:eastAsia="zh-CN" w:bidi="ar-SA"/>
              </w:rPr>
            </w:pPr>
            <w:r>
              <w:rPr>
                <w:rFonts w:hint="eastAsia" w:ascii="仿宋_GB2312" w:hAnsi="仿宋_GB2312" w:eastAsia="仿宋_GB2312" w:cs="仿宋_GB2312"/>
                <w:color w:val="auto"/>
                <w:kern w:val="0"/>
                <w:sz w:val="24"/>
                <w:szCs w:val="24"/>
                <w:highlight w:val="none"/>
              </w:rPr>
              <w:t>一种基于类过氧化酶催化银沉积检测GPC3的方法</w:t>
            </w:r>
          </w:p>
        </w:tc>
        <w:tc>
          <w:tcPr>
            <w:tcW w:w="2166" w:type="dxa"/>
            <w:vAlign w:val="top"/>
          </w:tcPr>
          <w:p>
            <w:pPr>
              <w:rPr>
                <w:rFonts w:hint="eastAsia" w:asciiTheme="minorHAnsi" w:hAnsiTheme="minorHAnsi" w:eastAsiaTheme="minorEastAsia" w:cstheme="minorBidi"/>
                <w:color w:val="auto"/>
                <w:kern w:val="2"/>
                <w:sz w:val="24"/>
                <w:szCs w:val="24"/>
                <w:highlight w:val="none"/>
                <w:lang w:val="en-US" w:eastAsia="zh-CN" w:bidi="ar-SA"/>
              </w:rPr>
            </w:pPr>
            <w:r>
              <w:rPr>
                <w:rFonts w:ascii="仿宋_GB2312" w:hAnsi="仿宋_GB2312" w:eastAsia="仿宋_GB2312" w:cs="仿宋_GB2312"/>
                <w:color w:val="auto"/>
                <w:kern w:val="0"/>
                <w:sz w:val="24"/>
                <w:szCs w:val="24"/>
                <w:highlight w:val="none"/>
              </w:rPr>
              <w:t xml:space="preserve">ZL201911169922.4   </w:t>
            </w:r>
          </w:p>
        </w:tc>
        <w:tc>
          <w:tcPr>
            <w:tcW w:w="2173" w:type="dxa"/>
            <w:vAlign w:val="top"/>
          </w:tcPr>
          <w:p>
            <w:pPr>
              <w:keepLines/>
              <w:spacing w:line="500" w:lineRule="exact"/>
              <w:jc w:val="left"/>
              <w:rPr>
                <w:rFonts w:hint="eastAsia" w:ascii="仿宋_GB2312" w:hAnsi="仿宋_GB2312" w:eastAsia="仿宋_GB2312" w:cs="仿宋_GB2312"/>
                <w:color w:val="auto"/>
                <w:kern w:val="0"/>
                <w:sz w:val="24"/>
                <w:szCs w:val="24"/>
                <w:highlight w:val="none"/>
                <w:lang w:val="en-US" w:eastAsia="zh-CN" w:bidi="ar-SA"/>
              </w:rPr>
            </w:pPr>
            <w:r>
              <w:rPr>
                <w:rFonts w:hint="eastAsia" w:ascii="仿宋_GB2312" w:hAnsi="仿宋_GB2312" w:eastAsia="仿宋_GB2312" w:cs="仿宋_GB2312"/>
                <w:color w:val="auto"/>
                <w:kern w:val="0"/>
                <w:sz w:val="24"/>
                <w:szCs w:val="24"/>
                <w:highlight w:val="none"/>
              </w:rPr>
              <w:t>李桂银、李文湛、冯华富、陈伟、梁晋涛、周治德</w:t>
            </w:r>
          </w:p>
        </w:tc>
      </w:tr>
    </w:tbl>
    <w:p>
      <w:pPr>
        <w:keepLines/>
        <w:spacing w:line="440" w:lineRule="exact"/>
        <w:ind w:firstLine="700" w:firstLineChars="250"/>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（二）转化方式：专利实施许可</w:t>
      </w:r>
    </w:p>
    <w:p>
      <w:pPr>
        <w:keepLines/>
        <w:spacing w:line="440" w:lineRule="exact"/>
        <w:ind w:firstLine="560" w:firstLineChars="200"/>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（三）转化收入：人民币4</w:t>
      </w:r>
      <w:r>
        <w:rPr>
          <w:rFonts w:hint="eastAsia" w:ascii="仿宋" w:hAnsi="仿宋" w:eastAsia="仿宋" w:cs="仿宋"/>
          <w:color w:val="000000"/>
          <w:kern w:val="0"/>
          <w:sz w:val="28"/>
          <w:szCs w:val="28"/>
          <w:lang w:val="en-US" w:eastAsia="zh-CN"/>
        </w:rPr>
        <w:t>6000</w:t>
      </w:r>
      <w:r>
        <w:rPr>
          <w:rFonts w:hint="eastAsia" w:ascii="仿宋" w:hAnsi="仿宋" w:eastAsia="仿宋" w:cs="仿宋"/>
          <w:color w:val="000000"/>
          <w:kern w:val="0"/>
          <w:sz w:val="28"/>
          <w:szCs w:val="28"/>
        </w:rPr>
        <w:t>圆整（￥4</w:t>
      </w:r>
      <w:r>
        <w:rPr>
          <w:rFonts w:hint="eastAsia" w:ascii="仿宋" w:hAnsi="仿宋" w:eastAsia="仿宋" w:cs="仿宋"/>
          <w:color w:val="000000"/>
          <w:kern w:val="0"/>
          <w:sz w:val="28"/>
          <w:szCs w:val="28"/>
          <w:lang w:val="en-US" w:eastAsia="zh-CN"/>
        </w:rPr>
        <w:t>6</w:t>
      </w:r>
      <w:r>
        <w:rPr>
          <w:rFonts w:hint="eastAsia" w:ascii="仿宋" w:hAnsi="仿宋" w:eastAsia="仿宋" w:cs="仿宋"/>
          <w:color w:val="000000"/>
          <w:kern w:val="0"/>
          <w:sz w:val="28"/>
          <w:szCs w:val="28"/>
        </w:rPr>
        <w:t>000元）</w:t>
      </w:r>
    </w:p>
    <w:p>
      <w:pPr>
        <w:keepLines/>
        <w:spacing w:line="440" w:lineRule="exact"/>
        <w:ind w:firstLine="560" w:firstLineChars="200"/>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（四）取得时间：2023年10月31日</w:t>
      </w:r>
    </w:p>
    <w:p>
      <w:pPr>
        <w:keepLines/>
        <w:spacing w:line="440" w:lineRule="exact"/>
        <w:ind w:firstLine="560" w:firstLineChars="200"/>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（五）扣除成本：0元</w:t>
      </w:r>
    </w:p>
    <w:p>
      <w:pPr>
        <w:spacing w:line="440" w:lineRule="exact"/>
        <w:ind w:firstLine="562" w:firstLineChars="200"/>
        <w:jc w:val="left"/>
        <w:rPr>
          <w:rFonts w:ascii="仿宋" w:hAnsi="仿宋" w:eastAsia="仿宋" w:cs="仿宋"/>
          <w:color w:val="000000"/>
          <w:kern w:val="0"/>
          <w:sz w:val="28"/>
          <w:szCs w:val="28"/>
        </w:rPr>
      </w:pPr>
      <w:r>
        <w:rPr>
          <w:rFonts w:hint="eastAsia" w:ascii="仿宋" w:hAnsi="仿宋" w:eastAsia="仿宋" w:cs="仿宋"/>
          <w:b/>
          <w:color w:val="000000"/>
          <w:kern w:val="0"/>
          <w:sz w:val="28"/>
          <w:szCs w:val="28"/>
        </w:rPr>
        <w:t>二、现金奖励信息</w:t>
      </w:r>
      <w:r>
        <w:rPr>
          <w:rFonts w:hint="eastAsia" w:ascii="仿宋" w:hAnsi="仿宋" w:eastAsia="仿宋" w:cs="仿宋"/>
          <w:color w:val="000000"/>
          <w:kern w:val="0"/>
          <w:sz w:val="28"/>
          <w:szCs w:val="28"/>
        </w:rPr>
        <w:t xml:space="preserve"> </w:t>
      </w:r>
    </w:p>
    <w:p>
      <w:pPr>
        <w:widowControl/>
        <w:spacing w:line="440" w:lineRule="exact"/>
        <w:ind w:firstLine="560" w:firstLineChars="20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拟将净收益99%(</w:t>
      </w:r>
      <w:r>
        <w:rPr>
          <w:rFonts w:hint="eastAsia" w:ascii="仿宋" w:hAnsi="仿宋" w:eastAsia="仿宋" w:cs="仿宋"/>
          <w:color w:val="000000"/>
          <w:kern w:val="0"/>
          <w:sz w:val="28"/>
          <w:szCs w:val="28"/>
          <w:lang w:val="en-US" w:eastAsia="zh-CN"/>
        </w:rPr>
        <w:t>4.5540</w:t>
      </w:r>
      <w:r>
        <w:rPr>
          <w:rFonts w:hint="eastAsia" w:ascii="仿宋" w:hAnsi="仿宋" w:eastAsia="仿宋" w:cs="仿宋"/>
          <w:color w:val="000000"/>
          <w:kern w:val="0"/>
          <w:sz w:val="28"/>
          <w:szCs w:val="28"/>
        </w:rPr>
        <w:t>万元)分配给研发团队主要成果完成人，提留净收益99%(</w:t>
      </w:r>
      <w:r>
        <w:rPr>
          <w:rFonts w:hint="eastAsia" w:ascii="仿宋" w:hAnsi="仿宋" w:eastAsia="仿宋" w:cs="仿宋"/>
          <w:color w:val="000000"/>
          <w:kern w:val="0"/>
          <w:sz w:val="28"/>
          <w:szCs w:val="28"/>
          <w:lang w:val="en-US" w:eastAsia="zh-CN"/>
        </w:rPr>
        <w:t>4.554</w:t>
      </w:r>
      <w:r>
        <w:rPr>
          <w:rFonts w:hint="eastAsia" w:ascii="仿宋" w:hAnsi="仿宋" w:eastAsia="仿宋" w:cs="仿宋"/>
          <w:color w:val="000000"/>
          <w:kern w:val="0"/>
          <w:sz w:val="28"/>
          <w:szCs w:val="28"/>
        </w:rPr>
        <w:t>万元)作为后续科研经费。拟发放现金奖励金额合计零圆整（￥0元）。</w:t>
      </w:r>
    </w:p>
    <w:p>
      <w:pPr>
        <w:widowControl/>
        <w:spacing w:line="440" w:lineRule="exact"/>
        <w:ind w:firstLine="562" w:firstLineChars="200"/>
        <w:jc w:val="left"/>
        <w:rPr>
          <w:rFonts w:ascii="仿宋" w:hAnsi="仿宋" w:eastAsia="仿宋" w:cs="仿宋"/>
          <w:b/>
          <w:color w:val="000000"/>
          <w:kern w:val="0"/>
          <w:sz w:val="28"/>
          <w:szCs w:val="28"/>
        </w:rPr>
      </w:pPr>
      <w:r>
        <w:rPr>
          <w:rFonts w:hint="eastAsia" w:ascii="仿宋" w:hAnsi="仿宋" w:eastAsia="仿宋" w:cs="仿宋"/>
          <w:b/>
          <w:color w:val="000000"/>
          <w:kern w:val="0"/>
          <w:sz w:val="28"/>
          <w:szCs w:val="28"/>
        </w:rPr>
        <w:t>三、现金奖励人员信息</w:t>
      </w:r>
      <w:bookmarkStart w:id="0" w:name="_GoBack"/>
      <w:bookmarkEnd w:id="0"/>
    </w:p>
    <w:tbl>
      <w:tblPr>
        <w:tblStyle w:val="7"/>
        <w:tblW w:w="83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8"/>
        <w:gridCol w:w="1290"/>
        <w:gridCol w:w="1606"/>
        <w:gridCol w:w="2317"/>
        <w:gridCol w:w="2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088" w:type="dxa"/>
          </w:tcPr>
          <w:p>
            <w:pPr>
              <w:spacing w:line="560" w:lineRule="exact"/>
              <w:jc w:val="center"/>
              <w:rPr>
                <w:rFonts w:ascii="仿宋" w:hAnsi="仿宋" w:eastAsia="仿宋" w:cs="仿宋"/>
                <w:b/>
                <w:bCs/>
                <w:kern w:val="0"/>
                <w:sz w:val="28"/>
                <w:szCs w:val="28"/>
              </w:rPr>
            </w:pPr>
            <w:r>
              <w:rPr>
                <w:rFonts w:hint="eastAsia" w:ascii="仿宋" w:hAnsi="仿宋" w:eastAsia="仿宋" w:cs="仿宋"/>
                <w:color w:val="000000"/>
                <w:kern w:val="0"/>
                <w:sz w:val="28"/>
                <w:szCs w:val="28"/>
              </w:rPr>
              <w:t> </w:t>
            </w:r>
            <w:r>
              <w:rPr>
                <w:rFonts w:hint="eastAsia" w:ascii="仿宋" w:hAnsi="仿宋" w:eastAsia="仿宋" w:cs="仿宋"/>
                <w:b/>
                <w:bCs/>
                <w:kern w:val="0"/>
                <w:sz w:val="28"/>
                <w:szCs w:val="28"/>
              </w:rPr>
              <w:t>序号</w:t>
            </w:r>
          </w:p>
        </w:tc>
        <w:tc>
          <w:tcPr>
            <w:tcW w:w="1290" w:type="dxa"/>
          </w:tcPr>
          <w:p>
            <w:pPr>
              <w:spacing w:line="5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姓名</w:t>
            </w:r>
          </w:p>
        </w:tc>
        <w:tc>
          <w:tcPr>
            <w:tcW w:w="1606" w:type="dxa"/>
          </w:tcPr>
          <w:p>
            <w:pPr>
              <w:spacing w:line="5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岗位职务</w:t>
            </w:r>
          </w:p>
        </w:tc>
        <w:tc>
          <w:tcPr>
            <w:tcW w:w="2317" w:type="dxa"/>
          </w:tcPr>
          <w:p>
            <w:pPr>
              <w:spacing w:line="5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贡献情况</w:t>
            </w:r>
          </w:p>
        </w:tc>
        <w:tc>
          <w:tcPr>
            <w:tcW w:w="2027" w:type="dxa"/>
          </w:tcPr>
          <w:p>
            <w:pPr>
              <w:spacing w:line="5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分配金额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1088" w:type="dxa"/>
            <w:vAlign w:val="center"/>
          </w:tcPr>
          <w:p>
            <w:pPr>
              <w:spacing w:line="560" w:lineRule="exact"/>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1290" w:type="dxa"/>
            <w:vAlign w:val="center"/>
          </w:tcPr>
          <w:p>
            <w:pPr>
              <w:spacing w:line="560" w:lineRule="exact"/>
              <w:jc w:val="center"/>
              <w:rPr>
                <w:rFonts w:ascii="仿宋" w:hAnsi="仿宋" w:eastAsia="仿宋" w:cs="仿宋"/>
                <w:kern w:val="0"/>
                <w:sz w:val="24"/>
                <w:szCs w:val="24"/>
              </w:rPr>
            </w:pPr>
            <w:r>
              <w:rPr>
                <w:rFonts w:hint="eastAsia" w:ascii="仿宋" w:hAnsi="仿宋" w:eastAsia="仿宋" w:cs="仿宋"/>
                <w:kern w:val="0"/>
                <w:sz w:val="24"/>
                <w:szCs w:val="24"/>
              </w:rPr>
              <w:t>周治德</w:t>
            </w:r>
          </w:p>
        </w:tc>
        <w:tc>
          <w:tcPr>
            <w:tcW w:w="1606" w:type="dxa"/>
            <w:vAlign w:val="center"/>
          </w:tcPr>
          <w:p>
            <w:pPr>
              <w:spacing w:line="560" w:lineRule="exact"/>
              <w:jc w:val="center"/>
              <w:rPr>
                <w:rFonts w:ascii="仿宋" w:hAnsi="仿宋" w:eastAsia="仿宋" w:cs="仿宋"/>
                <w:kern w:val="0"/>
                <w:sz w:val="24"/>
                <w:szCs w:val="24"/>
              </w:rPr>
            </w:pPr>
            <w:r>
              <w:rPr>
                <w:rFonts w:hint="eastAsia" w:ascii="仿宋" w:hAnsi="仿宋" w:eastAsia="仿宋" w:cs="仿宋"/>
                <w:kern w:val="0"/>
                <w:sz w:val="24"/>
                <w:szCs w:val="24"/>
              </w:rPr>
              <w:t>教授</w:t>
            </w:r>
          </w:p>
        </w:tc>
        <w:tc>
          <w:tcPr>
            <w:tcW w:w="2317" w:type="dxa"/>
            <w:vAlign w:val="center"/>
          </w:tcPr>
          <w:p>
            <w:pPr>
              <w:spacing w:line="560" w:lineRule="exact"/>
              <w:jc w:val="center"/>
              <w:rPr>
                <w:rFonts w:ascii="仿宋" w:hAnsi="仿宋" w:eastAsia="仿宋" w:cs="仿宋"/>
                <w:kern w:val="0"/>
                <w:sz w:val="24"/>
                <w:szCs w:val="24"/>
              </w:rPr>
            </w:pPr>
            <w:r>
              <w:rPr>
                <w:rFonts w:hint="eastAsia" w:ascii="仿宋" w:hAnsi="仿宋" w:eastAsia="仿宋" w:cs="仿宋"/>
                <w:kern w:val="0"/>
                <w:sz w:val="24"/>
                <w:szCs w:val="24"/>
              </w:rPr>
              <w:t>项目负责人</w:t>
            </w:r>
          </w:p>
        </w:tc>
        <w:tc>
          <w:tcPr>
            <w:tcW w:w="2027" w:type="dxa"/>
            <w:vAlign w:val="center"/>
          </w:tcPr>
          <w:p>
            <w:pPr>
              <w:spacing w:line="560" w:lineRule="exact"/>
              <w:jc w:val="center"/>
              <w:rPr>
                <w:rFonts w:ascii="仿宋" w:hAnsi="仿宋" w:eastAsia="仿宋" w:cs="仿宋"/>
                <w:kern w:val="0"/>
                <w:sz w:val="24"/>
                <w:szCs w:val="24"/>
              </w:rPr>
            </w:pPr>
            <w:r>
              <w:rPr>
                <w:rFonts w:hint="eastAsia" w:ascii="仿宋" w:hAnsi="仿宋" w:eastAsia="仿宋" w:cs="仿宋"/>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6300" w:type="dxa"/>
            <w:gridSpan w:val="4"/>
            <w:vAlign w:val="center"/>
          </w:tcPr>
          <w:p>
            <w:pPr>
              <w:spacing w:line="560" w:lineRule="exact"/>
              <w:jc w:val="center"/>
              <w:rPr>
                <w:rFonts w:ascii="仿宋" w:hAnsi="仿宋" w:eastAsia="仿宋" w:cs="仿宋"/>
                <w:kern w:val="0"/>
                <w:sz w:val="24"/>
                <w:szCs w:val="24"/>
              </w:rPr>
            </w:pPr>
            <w:r>
              <w:rPr>
                <w:rFonts w:hint="eastAsia" w:ascii="仿宋" w:hAnsi="仿宋" w:eastAsia="仿宋" w:cs="仿宋"/>
                <w:kern w:val="0"/>
                <w:sz w:val="24"/>
                <w:szCs w:val="24"/>
              </w:rPr>
              <w:t>合计</w:t>
            </w:r>
          </w:p>
        </w:tc>
        <w:tc>
          <w:tcPr>
            <w:tcW w:w="2027" w:type="dxa"/>
            <w:vAlign w:val="center"/>
          </w:tcPr>
          <w:p>
            <w:pPr>
              <w:spacing w:line="560" w:lineRule="exact"/>
              <w:jc w:val="center"/>
              <w:rPr>
                <w:rFonts w:ascii="仿宋" w:hAnsi="仿宋" w:eastAsia="仿宋" w:cs="仿宋"/>
                <w:kern w:val="0"/>
                <w:sz w:val="24"/>
                <w:szCs w:val="24"/>
              </w:rPr>
            </w:pPr>
            <w:r>
              <w:rPr>
                <w:rFonts w:hint="eastAsia" w:ascii="仿宋" w:hAnsi="仿宋" w:eastAsia="仿宋" w:cs="仿宋"/>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327" w:type="dxa"/>
            <w:gridSpan w:val="5"/>
            <w:vAlign w:val="center"/>
          </w:tcPr>
          <w:p>
            <w:pPr>
              <w:widowControl/>
              <w:spacing w:line="500" w:lineRule="exact"/>
              <w:jc w:val="center"/>
              <w:rPr>
                <w:rFonts w:ascii="仿宋" w:hAnsi="仿宋" w:eastAsia="仿宋" w:cs="仿宋"/>
                <w:kern w:val="0"/>
                <w:sz w:val="24"/>
                <w:szCs w:val="24"/>
              </w:rPr>
            </w:pPr>
            <w:r>
              <w:rPr>
                <w:rFonts w:hint="eastAsia" w:ascii="仿宋" w:hAnsi="仿宋" w:eastAsia="仿宋" w:cs="仿宋"/>
                <w:bCs/>
                <w:color w:val="000000"/>
                <w:kern w:val="0"/>
                <w:sz w:val="28"/>
                <w:szCs w:val="28"/>
              </w:rPr>
              <w:t>涉及的其他发明人现金奖励为0元。</w:t>
            </w:r>
          </w:p>
        </w:tc>
      </w:tr>
    </w:tbl>
    <w:p>
      <w:pPr>
        <w:widowControl/>
        <w:spacing w:line="440" w:lineRule="exact"/>
        <w:ind w:firstLine="562" w:firstLineChars="200"/>
        <w:jc w:val="left"/>
        <w:rPr>
          <w:rFonts w:ascii="仿宋" w:hAnsi="仿宋" w:eastAsia="仿宋" w:cs="仿宋"/>
          <w:color w:val="000000"/>
          <w:kern w:val="0"/>
          <w:sz w:val="28"/>
          <w:szCs w:val="28"/>
        </w:rPr>
      </w:pPr>
      <w:r>
        <w:rPr>
          <w:rFonts w:hint="eastAsia" w:ascii="仿宋" w:hAnsi="仿宋" w:eastAsia="仿宋" w:cs="仿宋"/>
          <w:b/>
          <w:color w:val="000000"/>
          <w:kern w:val="0"/>
          <w:sz w:val="28"/>
          <w:szCs w:val="28"/>
        </w:rPr>
        <w:t>四、现金拟发放时间</w:t>
      </w:r>
      <w:r>
        <w:rPr>
          <w:rFonts w:hint="eastAsia" w:ascii="仿宋" w:hAnsi="仿宋" w:eastAsia="仿宋" w:cs="仿宋"/>
          <w:color w:val="000000"/>
          <w:kern w:val="0"/>
          <w:sz w:val="28"/>
          <w:szCs w:val="28"/>
        </w:rPr>
        <w:t>：2023年12月</w:t>
      </w:r>
    </w:p>
    <w:p>
      <w:pPr>
        <w:widowControl/>
        <w:spacing w:line="440" w:lineRule="exact"/>
        <w:ind w:firstLine="562" w:firstLineChars="200"/>
        <w:jc w:val="left"/>
        <w:rPr>
          <w:rFonts w:ascii="仿宋" w:hAnsi="仿宋" w:eastAsia="仿宋" w:cs="仿宋"/>
          <w:b/>
          <w:color w:val="000000"/>
          <w:kern w:val="0"/>
          <w:sz w:val="28"/>
          <w:szCs w:val="28"/>
        </w:rPr>
      </w:pPr>
      <w:r>
        <w:rPr>
          <w:rFonts w:hint="eastAsia" w:ascii="仿宋" w:hAnsi="仿宋" w:eastAsia="仿宋" w:cs="仿宋"/>
          <w:b/>
          <w:color w:val="000000"/>
          <w:kern w:val="0"/>
          <w:sz w:val="28"/>
          <w:szCs w:val="28"/>
        </w:rPr>
        <w:t>五、技术合同登记信息</w:t>
      </w:r>
    </w:p>
    <w:p>
      <w:pPr>
        <w:widowControl/>
        <w:spacing w:line="440" w:lineRule="exact"/>
        <w:ind w:firstLine="560" w:firstLineChars="20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技术合同登记机构：桂林市生产力促进中心、</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911"/>
        <w:gridCol w:w="2256"/>
        <w:gridCol w:w="2000"/>
        <w:gridCol w:w="1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0" w:type="dxa"/>
            <w:vAlign w:val="center"/>
          </w:tcPr>
          <w:p>
            <w:pPr>
              <w:widowControl/>
              <w:spacing w:line="50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序号</w:t>
            </w:r>
          </w:p>
        </w:tc>
        <w:tc>
          <w:tcPr>
            <w:tcW w:w="1911" w:type="dxa"/>
            <w:vAlign w:val="center"/>
          </w:tcPr>
          <w:p>
            <w:pPr>
              <w:widowControl/>
              <w:spacing w:line="50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合同登记号</w:t>
            </w:r>
          </w:p>
        </w:tc>
        <w:tc>
          <w:tcPr>
            <w:tcW w:w="2256" w:type="dxa"/>
            <w:vAlign w:val="center"/>
          </w:tcPr>
          <w:p>
            <w:pPr>
              <w:widowControl/>
              <w:spacing w:line="50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合同名称</w:t>
            </w:r>
          </w:p>
        </w:tc>
        <w:tc>
          <w:tcPr>
            <w:tcW w:w="2000" w:type="dxa"/>
            <w:vAlign w:val="center"/>
          </w:tcPr>
          <w:p>
            <w:pPr>
              <w:widowControl/>
              <w:spacing w:line="50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买方名称</w:t>
            </w:r>
          </w:p>
        </w:tc>
        <w:tc>
          <w:tcPr>
            <w:tcW w:w="1267" w:type="dxa"/>
            <w:vAlign w:val="center"/>
          </w:tcPr>
          <w:p>
            <w:pPr>
              <w:widowControl/>
              <w:spacing w:line="44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技术交易额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0" w:type="dxa"/>
          </w:tcPr>
          <w:p>
            <w:pPr>
              <w:widowControl/>
              <w:spacing w:line="50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c>
          <w:tcPr>
            <w:tcW w:w="1911" w:type="dxa"/>
          </w:tcPr>
          <w:p>
            <w:pPr>
              <w:keepLines/>
              <w:spacing w:line="50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2023450004000502</w:t>
            </w:r>
          </w:p>
        </w:tc>
        <w:tc>
          <w:tcPr>
            <w:tcW w:w="2256" w:type="dxa"/>
          </w:tcPr>
          <w:p>
            <w:pPr>
              <w:keepLines/>
              <w:snapToGrid w:val="0"/>
              <w:spacing w:line="440" w:lineRule="exact"/>
              <w:jc w:val="center"/>
              <w:rPr>
                <w:rFonts w:ascii="仿宋_GB2312" w:hAnsi="仿宋_GB2312" w:eastAsia="仿宋_GB2312" w:cs="仿宋_GB2312"/>
                <w:kern w:val="0"/>
                <w:szCs w:val="21"/>
              </w:rPr>
            </w:pPr>
            <w:r>
              <w:rPr>
                <w:rFonts w:hint="eastAsia" w:ascii="仿宋" w:hAnsi="仿宋" w:eastAsia="仿宋" w:cs="仿宋"/>
                <w:kern w:val="0"/>
                <w:sz w:val="24"/>
                <w:szCs w:val="24"/>
              </w:rPr>
              <w:t>-种基于纳米复合材料构建夹心型适配体传感器检测GPC3的方法、基于RG0-CMCS-Hemin/PtPd NPs比色传感器检测GP73的方法等2项专利许可</w:t>
            </w:r>
          </w:p>
        </w:tc>
        <w:tc>
          <w:tcPr>
            <w:tcW w:w="2000" w:type="dxa"/>
          </w:tcPr>
          <w:p>
            <w:pPr>
              <w:widowControl/>
              <w:snapToGrid w:val="0"/>
              <w:spacing w:line="440" w:lineRule="exact"/>
              <w:jc w:val="left"/>
              <w:rPr>
                <w:rFonts w:ascii="仿宋_GB2312" w:hAnsi="仿宋_GB2312" w:eastAsia="仿宋_GB2312" w:cs="仿宋_GB2312"/>
                <w:color w:val="000000"/>
                <w:kern w:val="0"/>
                <w:szCs w:val="21"/>
              </w:rPr>
            </w:pPr>
            <w:r>
              <w:rPr>
                <w:rFonts w:hint="eastAsia" w:ascii="仿宋" w:hAnsi="仿宋" w:eastAsia="仿宋" w:cs="宋体"/>
                <w:kern w:val="0"/>
                <w:sz w:val="24"/>
              </w:rPr>
              <w:t>厦门市宽信众合科技有限公司</w:t>
            </w:r>
          </w:p>
        </w:tc>
        <w:tc>
          <w:tcPr>
            <w:tcW w:w="1267" w:type="dxa"/>
          </w:tcPr>
          <w:p>
            <w:pPr>
              <w:widowControl/>
              <w:spacing w:line="500" w:lineRule="exact"/>
              <w:jc w:val="left"/>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40000元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0" w:type="dxa"/>
          </w:tcPr>
          <w:p>
            <w:pPr>
              <w:widowControl/>
              <w:spacing w:line="500" w:lineRule="exact"/>
              <w:jc w:val="left"/>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2</w:t>
            </w:r>
          </w:p>
        </w:tc>
        <w:tc>
          <w:tcPr>
            <w:tcW w:w="1911" w:type="dxa"/>
          </w:tcPr>
          <w:p>
            <w:pPr>
              <w:keepLines/>
              <w:spacing w:line="500" w:lineRule="exact"/>
              <w:jc w:val="center"/>
              <w:rPr>
                <w:rFonts w:hint="default" w:ascii="仿宋" w:hAnsi="仿宋" w:eastAsia="仿宋" w:cs="仿宋"/>
                <w:color w:val="000000"/>
                <w:kern w:val="0"/>
                <w:sz w:val="28"/>
                <w:szCs w:val="28"/>
                <w:highlight w:val="none"/>
                <w:lang w:val="en-US" w:eastAsia="zh-CN"/>
              </w:rPr>
            </w:pPr>
            <w:r>
              <w:rPr>
                <w:rFonts w:hint="eastAsia" w:ascii="仿宋_GB2312" w:hAnsi="仿宋_GB2312" w:eastAsia="仿宋_GB2312" w:cs="仿宋_GB2312"/>
                <w:kern w:val="0"/>
                <w:szCs w:val="21"/>
                <w:lang w:val="en-US" w:eastAsia="zh-CN"/>
              </w:rPr>
              <w:t>2023450004000593</w:t>
            </w:r>
          </w:p>
          <w:p>
            <w:pPr>
              <w:keepLines/>
              <w:spacing w:line="500" w:lineRule="exact"/>
              <w:jc w:val="center"/>
              <w:rPr>
                <w:rFonts w:hint="eastAsia" w:ascii="仿宋_GB2312" w:hAnsi="仿宋_GB2312" w:eastAsia="仿宋_GB2312" w:cs="仿宋_GB2312"/>
                <w:kern w:val="0"/>
                <w:szCs w:val="21"/>
              </w:rPr>
            </w:pPr>
          </w:p>
        </w:tc>
        <w:tc>
          <w:tcPr>
            <w:tcW w:w="2256" w:type="dxa"/>
          </w:tcPr>
          <w:p>
            <w:pPr>
              <w:keepLines/>
              <w:snapToGrid w:val="0"/>
              <w:spacing w:line="440" w:lineRule="exact"/>
              <w:jc w:val="center"/>
              <w:rPr>
                <w:rFonts w:hint="eastAsia" w:ascii="仿宋" w:hAnsi="仿宋" w:eastAsia="仿宋" w:cs="仿宋"/>
                <w:kern w:val="0"/>
                <w:sz w:val="24"/>
                <w:szCs w:val="24"/>
              </w:rPr>
            </w:pPr>
            <w:r>
              <w:rPr>
                <w:rFonts w:hint="eastAsia" w:ascii="仿宋" w:hAnsi="仿宋" w:eastAsia="仿宋" w:cs="仿宋"/>
                <w:color w:val="000000"/>
                <w:kern w:val="0"/>
                <w:sz w:val="28"/>
                <w:szCs w:val="28"/>
                <w:highlight w:val="none"/>
              </w:rPr>
              <w:t>一种基于H-rGO-Pt@Pd NPs纳米酶可视化检测GPC3的方法等</w:t>
            </w:r>
            <w:r>
              <w:rPr>
                <w:rFonts w:ascii="仿宋" w:hAnsi="仿宋" w:eastAsia="仿宋" w:cs="仿宋"/>
                <w:color w:val="000000"/>
                <w:kern w:val="0"/>
                <w:sz w:val="28"/>
                <w:szCs w:val="28"/>
                <w:highlight w:val="none"/>
              </w:rPr>
              <w:t>4</w:t>
            </w:r>
            <w:r>
              <w:rPr>
                <w:rFonts w:hint="eastAsia" w:ascii="仿宋" w:hAnsi="仿宋" w:eastAsia="仿宋" w:cs="仿宋"/>
                <w:color w:val="000000"/>
                <w:kern w:val="0"/>
                <w:sz w:val="28"/>
                <w:szCs w:val="28"/>
                <w:highlight w:val="none"/>
              </w:rPr>
              <w:t>项专利实施许可</w:t>
            </w:r>
          </w:p>
        </w:tc>
        <w:tc>
          <w:tcPr>
            <w:tcW w:w="2000" w:type="dxa"/>
          </w:tcPr>
          <w:p>
            <w:pPr>
              <w:widowControl/>
              <w:snapToGrid w:val="0"/>
              <w:spacing w:line="440" w:lineRule="exact"/>
              <w:jc w:val="left"/>
              <w:rPr>
                <w:rFonts w:hint="eastAsia" w:ascii="仿宋" w:hAnsi="仿宋" w:eastAsia="仿宋" w:cs="宋体"/>
                <w:kern w:val="0"/>
                <w:sz w:val="24"/>
              </w:rPr>
            </w:pPr>
            <w:r>
              <w:rPr>
                <w:rFonts w:hint="eastAsia" w:ascii="仿宋" w:hAnsi="仿宋" w:eastAsia="仿宋" w:cs="仿宋"/>
                <w:color w:val="000000"/>
                <w:kern w:val="0"/>
                <w:sz w:val="28"/>
                <w:szCs w:val="28"/>
                <w:highlight w:val="none"/>
              </w:rPr>
              <w:t>广西思力照生物科技有限公司</w:t>
            </w:r>
          </w:p>
        </w:tc>
        <w:tc>
          <w:tcPr>
            <w:tcW w:w="1267" w:type="dxa"/>
          </w:tcPr>
          <w:p>
            <w:pPr>
              <w:widowControl/>
              <w:spacing w:line="500" w:lineRule="exact"/>
              <w:jc w:val="left"/>
              <w:rPr>
                <w:rFonts w:hint="default" w:ascii="仿宋_GB2312" w:hAnsi="仿宋_GB2312" w:eastAsia="仿宋_GB2312" w:cs="仿宋_GB2312"/>
                <w:color w:val="000000"/>
                <w:kern w:val="0"/>
                <w:szCs w:val="21"/>
                <w:lang w:val="en-US" w:eastAsia="zh-CN"/>
              </w:rPr>
            </w:pPr>
            <w:r>
              <w:rPr>
                <w:rFonts w:hint="eastAsia" w:ascii="仿宋_GB2312" w:hAnsi="仿宋_GB2312" w:eastAsia="仿宋_GB2312" w:cs="仿宋_GB2312"/>
                <w:color w:val="000000"/>
                <w:kern w:val="0"/>
                <w:szCs w:val="21"/>
                <w:lang w:val="en-US" w:eastAsia="zh-CN"/>
              </w:rPr>
              <w:t>6000元</w:t>
            </w:r>
          </w:p>
        </w:tc>
      </w:tr>
    </w:tbl>
    <w:p>
      <w:pPr>
        <w:widowControl/>
        <w:spacing w:line="440" w:lineRule="exact"/>
        <w:jc w:val="left"/>
        <w:rPr>
          <w:rFonts w:ascii="仿宋" w:hAnsi="仿宋" w:eastAsia="仿宋" w:cs="仿宋"/>
          <w:color w:val="000000"/>
          <w:kern w:val="0"/>
          <w:sz w:val="28"/>
          <w:szCs w:val="28"/>
        </w:rPr>
      </w:pPr>
    </w:p>
    <w:p>
      <w:pPr>
        <w:widowControl/>
        <w:spacing w:line="440" w:lineRule="exact"/>
        <w:ind w:firstLine="560" w:firstLineChars="200"/>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以上成果转化奖励资金来源于成果转化收益所得。特此公示，公示期15个工作日，自2023年</w:t>
      </w:r>
      <w:r>
        <w:rPr>
          <w:rFonts w:hint="eastAsia" w:ascii="仿宋" w:hAnsi="仿宋" w:eastAsia="仿宋" w:cs="仿宋"/>
          <w:color w:val="000000"/>
          <w:kern w:val="0"/>
          <w:sz w:val="28"/>
          <w:szCs w:val="28"/>
          <w:lang w:val="en-US" w:eastAsia="zh-CN"/>
        </w:rPr>
        <w:t>12</w:t>
      </w:r>
      <w:r>
        <w:rPr>
          <w:rFonts w:hint="eastAsia" w:ascii="仿宋" w:hAnsi="仿宋" w:eastAsia="仿宋" w:cs="仿宋"/>
          <w:color w:val="000000"/>
          <w:kern w:val="0"/>
          <w:sz w:val="28"/>
          <w:szCs w:val="28"/>
        </w:rPr>
        <w:t>月</w:t>
      </w:r>
      <w:r>
        <w:rPr>
          <w:rFonts w:hint="eastAsia" w:ascii="仿宋" w:hAnsi="仿宋" w:eastAsia="仿宋" w:cs="仿宋"/>
          <w:color w:val="000000"/>
          <w:kern w:val="0"/>
          <w:sz w:val="28"/>
          <w:szCs w:val="28"/>
          <w:lang w:val="en-US" w:eastAsia="zh-CN"/>
        </w:rPr>
        <w:t>1</w:t>
      </w:r>
      <w:r>
        <w:rPr>
          <w:rFonts w:hint="eastAsia" w:ascii="仿宋" w:hAnsi="仿宋" w:eastAsia="仿宋" w:cs="仿宋"/>
          <w:color w:val="000000"/>
          <w:kern w:val="0"/>
          <w:sz w:val="28"/>
          <w:szCs w:val="28"/>
        </w:rPr>
        <w:t>日起至2023年</w:t>
      </w:r>
      <w:r>
        <w:rPr>
          <w:rFonts w:hint="eastAsia" w:ascii="仿宋" w:hAnsi="仿宋" w:eastAsia="仿宋" w:cs="仿宋"/>
          <w:color w:val="000000"/>
          <w:kern w:val="0"/>
          <w:sz w:val="28"/>
          <w:szCs w:val="28"/>
          <w:lang w:val="en-US" w:eastAsia="zh-CN"/>
        </w:rPr>
        <w:t>12</w:t>
      </w:r>
      <w:r>
        <w:rPr>
          <w:rFonts w:hint="eastAsia" w:ascii="仿宋" w:hAnsi="仿宋" w:eastAsia="仿宋" w:cs="仿宋"/>
          <w:color w:val="000000"/>
          <w:kern w:val="0"/>
          <w:sz w:val="28"/>
          <w:szCs w:val="28"/>
        </w:rPr>
        <w:t>月</w:t>
      </w:r>
      <w:r>
        <w:rPr>
          <w:rFonts w:hint="eastAsia" w:ascii="仿宋" w:hAnsi="仿宋" w:eastAsia="仿宋" w:cs="仿宋"/>
          <w:color w:val="000000"/>
          <w:kern w:val="0"/>
          <w:sz w:val="28"/>
          <w:szCs w:val="28"/>
          <w:lang w:val="en-US" w:eastAsia="zh-CN"/>
        </w:rPr>
        <w:t>21</w:t>
      </w:r>
      <w:r>
        <w:rPr>
          <w:rFonts w:hint="eastAsia" w:ascii="仿宋" w:hAnsi="仿宋" w:eastAsia="仿宋" w:cs="仿宋"/>
          <w:color w:val="000000"/>
          <w:kern w:val="0"/>
          <w:sz w:val="28"/>
          <w:szCs w:val="28"/>
        </w:rPr>
        <w:t>日。如有异议，请于公示期内以书面形式实名向科研院反映。</w:t>
      </w:r>
    </w:p>
    <w:p>
      <w:pPr>
        <w:widowControl/>
        <w:spacing w:line="440" w:lineRule="exact"/>
        <w:ind w:firstLine="560" w:firstLineChars="200"/>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联系人：</w:t>
      </w:r>
      <w:r>
        <w:rPr>
          <w:rFonts w:hint="eastAsia" w:ascii="仿宋" w:hAnsi="仿宋" w:eastAsia="仿宋" w:cs="仿宋"/>
          <w:color w:val="000000"/>
          <w:kern w:val="0"/>
          <w:sz w:val="28"/>
          <w:szCs w:val="28"/>
          <w:lang w:val="en-US" w:eastAsia="zh-CN"/>
        </w:rPr>
        <w:t>钱</w:t>
      </w:r>
      <w:r>
        <w:rPr>
          <w:rFonts w:hint="eastAsia" w:ascii="仿宋" w:hAnsi="仿宋" w:eastAsia="仿宋" w:cs="仿宋"/>
          <w:color w:val="000000"/>
          <w:kern w:val="0"/>
          <w:sz w:val="28"/>
          <w:szCs w:val="28"/>
        </w:rPr>
        <w:t>老师、阮老师，联系电话：2208258。</w:t>
      </w:r>
    </w:p>
    <w:p>
      <w:pPr>
        <w:widowControl/>
        <w:shd w:val="clear" w:color="auto" w:fill="FFFFFF"/>
        <w:spacing w:line="440" w:lineRule="exact"/>
        <w:jc w:val="left"/>
        <w:rPr>
          <w:rFonts w:ascii="仿宋" w:hAnsi="仿宋" w:eastAsia="仿宋" w:cs="仿宋"/>
          <w:color w:val="000000"/>
          <w:kern w:val="0"/>
          <w:sz w:val="28"/>
          <w:szCs w:val="28"/>
        </w:rPr>
      </w:pPr>
    </w:p>
    <w:p>
      <w:pPr>
        <w:widowControl/>
        <w:shd w:val="clear" w:color="auto" w:fill="FFFFFF"/>
        <w:spacing w:line="440" w:lineRule="exact"/>
        <w:ind w:firstLine="3640" w:firstLineChars="1300"/>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科研院技术转移管理办公室</w:t>
      </w:r>
    </w:p>
    <w:p>
      <w:pPr>
        <w:widowControl/>
        <w:shd w:val="clear" w:color="auto" w:fill="FFFFFF"/>
        <w:spacing w:line="440" w:lineRule="exact"/>
        <w:ind w:firstLine="4480" w:firstLineChars="1600"/>
        <w:jc w:val="left"/>
        <w:rPr>
          <w:rFonts w:ascii="仿宋" w:hAnsi="仿宋" w:eastAsia="仿宋" w:cs="仿宋"/>
          <w:sz w:val="28"/>
          <w:szCs w:val="28"/>
        </w:rPr>
      </w:pPr>
      <w:r>
        <w:rPr>
          <w:rFonts w:hint="eastAsia" w:ascii="仿宋" w:hAnsi="仿宋" w:eastAsia="仿宋" w:cs="仿宋"/>
          <w:color w:val="333333"/>
          <w:kern w:val="0"/>
          <w:sz w:val="28"/>
          <w:szCs w:val="28"/>
        </w:rPr>
        <w:t>2023年</w:t>
      </w:r>
      <w:r>
        <w:rPr>
          <w:rFonts w:hint="eastAsia" w:ascii="仿宋" w:hAnsi="仿宋" w:eastAsia="仿宋" w:cs="仿宋"/>
          <w:color w:val="333333"/>
          <w:kern w:val="0"/>
          <w:sz w:val="28"/>
          <w:szCs w:val="28"/>
          <w:lang w:val="en-US" w:eastAsia="zh-CN"/>
        </w:rPr>
        <w:t>12</w:t>
      </w:r>
      <w:r>
        <w:rPr>
          <w:rFonts w:hint="eastAsia" w:ascii="仿宋" w:hAnsi="仿宋" w:eastAsia="仿宋" w:cs="仿宋"/>
          <w:color w:val="333333"/>
          <w:kern w:val="0"/>
          <w:sz w:val="28"/>
          <w:szCs w:val="28"/>
        </w:rPr>
        <w:t>月</w:t>
      </w:r>
      <w:r>
        <w:rPr>
          <w:rFonts w:hint="eastAsia" w:ascii="仿宋" w:hAnsi="仿宋" w:eastAsia="仿宋" w:cs="仿宋"/>
          <w:color w:val="333333"/>
          <w:kern w:val="0"/>
          <w:sz w:val="28"/>
          <w:szCs w:val="28"/>
          <w:lang w:val="en-US" w:eastAsia="zh-CN"/>
        </w:rPr>
        <w:t>1</w:t>
      </w:r>
      <w:r>
        <w:rPr>
          <w:rFonts w:hint="eastAsia" w:ascii="仿宋" w:hAnsi="仿宋" w:eastAsia="仿宋" w:cs="仿宋"/>
          <w:color w:val="333333"/>
          <w:kern w:val="0"/>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1MmNiMzExOGRmM2YxODliMjY2NWFjMzgxZmUyZDIifQ=="/>
  </w:docVars>
  <w:rsids>
    <w:rsidRoot w:val="00F14854"/>
    <w:rsid w:val="0024167E"/>
    <w:rsid w:val="00267621"/>
    <w:rsid w:val="003F10A6"/>
    <w:rsid w:val="00433E4E"/>
    <w:rsid w:val="004540E1"/>
    <w:rsid w:val="004D4E47"/>
    <w:rsid w:val="00577793"/>
    <w:rsid w:val="005B5A8D"/>
    <w:rsid w:val="00654919"/>
    <w:rsid w:val="007234E3"/>
    <w:rsid w:val="007B4E33"/>
    <w:rsid w:val="007D3F9E"/>
    <w:rsid w:val="008A075C"/>
    <w:rsid w:val="008B71B7"/>
    <w:rsid w:val="008B77BC"/>
    <w:rsid w:val="008D16EE"/>
    <w:rsid w:val="00971998"/>
    <w:rsid w:val="009763B8"/>
    <w:rsid w:val="00A335B8"/>
    <w:rsid w:val="00AB7062"/>
    <w:rsid w:val="00AF1C27"/>
    <w:rsid w:val="00B122CE"/>
    <w:rsid w:val="00C8526D"/>
    <w:rsid w:val="00D87709"/>
    <w:rsid w:val="00E46B0A"/>
    <w:rsid w:val="00E5727E"/>
    <w:rsid w:val="00EB12CC"/>
    <w:rsid w:val="00F14854"/>
    <w:rsid w:val="089F1EED"/>
    <w:rsid w:val="0D077DD0"/>
    <w:rsid w:val="0DD04666"/>
    <w:rsid w:val="0EEB066B"/>
    <w:rsid w:val="1087793D"/>
    <w:rsid w:val="12E70039"/>
    <w:rsid w:val="133157C3"/>
    <w:rsid w:val="20785043"/>
    <w:rsid w:val="279E2FEB"/>
    <w:rsid w:val="2BF518C4"/>
    <w:rsid w:val="2E90368E"/>
    <w:rsid w:val="39B142EF"/>
    <w:rsid w:val="3A0E646D"/>
    <w:rsid w:val="4026673C"/>
    <w:rsid w:val="43DD46A1"/>
    <w:rsid w:val="4E121B55"/>
    <w:rsid w:val="591025BC"/>
    <w:rsid w:val="594E2BD8"/>
    <w:rsid w:val="5F26553E"/>
    <w:rsid w:val="6421340B"/>
    <w:rsid w:val="66CC316D"/>
    <w:rsid w:val="66DB787B"/>
    <w:rsid w:val="67DD629C"/>
    <w:rsid w:val="6DBD2193"/>
    <w:rsid w:val="712479EF"/>
    <w:rsid w:val="72441A40"/>
    <w:rsid w:val="73F5476E"/>
    <w:rsid w:val="767D2FBC"/>
    <w:rsid w:val="778475CC"/>
    <w:rsid w:val="77EA0465"/>
    <w:rsid w:val="7B911885"/>
    <w:rsid w:val="7E765C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unhideWhenUsed/>
    <w:qFormat/>
    <w:uiPriority w:val="99"/>
    <w:pPr>
      <w:spacing w:after="120"/>
    </w:pPr>
  </w:style>
  <w:style w:type="paragraph" w:styleId="3">
    <w:name w:val="Balloon Text"/>
    <w:basedOn w:val="1"/>
    <w:link w:val="13"/>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bCs/>
    </w:rPr>
  </w:style>
  <w:style w:type="character" w:customStyle="1" w:styleId="11">
    <w:name w:val="页眉 Char"/>
    <w:basedOn w:val="9"/>
    <w:link w:val="5"/>
    <w:qFormat/>
    <w:uiPriority w:val="99"/>
    <w:rPr>
      <w:sz w:val="18"/>
      <w:szCs w:val="18"/>
    </w:rPr>
  </w:style>
  <w:style w:type="character" w:customStyle="1" w:styleId="12">
    <w:name w:val="页脚 Char"/>
    <w:basedOn w:val="9"/>
    <w:link w:val="4"/>
    <w:qFormat/>
    <w:uiPriority w:val="99"/>
    <w:rPr>
      <w:sz w:val="18"/>
      <w:szCs w:val="18"/>
    </w:rPr>
  </w:style>
  <w:style w:type="character" w:customStyle="1" w:styleId="13">
    <w:name w:val="批注框文本 Char"/>
    <w:basedOn w:val="9"/>
    <w:link w:val="3"/>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142</Words>
  <Characters>810</Characters>
  <Lines>6</Lines>
  <Paragraphs>1</Paragraphs>
  <TotalTime>3</TotalTime>
  <ScaleCrop>false</ScaleCrop>
  <LinksUpToDate>false</LinksUpToDate>
  <CharactersWithSpaces>951</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2023-11-19T14:52:00Z</dcterms:created>
  <dc:creator>3100001</dc:creator>
  <cp:lastModifiedBy>Lenovo</cp:lastModifiedBy>
  <cp:lastPrinted>2020-01-07T08:44:00Z</cp:lastPrinted>
  <dcterms:modified xsi:type="dcterms:W3CDTF">2023-12-01T15:04:15Z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A942F114D17F4E43AF34540D84329A10</vt:lpwstr>
  </property>
</Properties>
</file>