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ascii="方正小标宋简体" w:hAnsi="方正小标宋简体" w:eastAsia="方正小标宋简体" w:cs="方正小标宋简体"/>
          <w:color w:val="auto"/>
          <w:kern w:val="0"/>
          <w:sz w:val="44"/>
          <w:szCs w:val="44"/>
          <w:highlight w:val="none"/>
        </w:rPr>
      </w:pPr>
      <w:r>
        <w:rPr>
          <w:rFonts w:hint="eastAsia" w:ascii="方正小标宋简体" w:hAnsi="方正小标宋简体" w:eastAsia="方正小标宋简体" w:cs="方正小标宋简体"/>
          <w:color w:val="auto"/>
          <w:kern w:val="0"/>
          <w:sz w:val="44"/>
          <w:szCs w:val="44"/>
          <w:highlight w:val="none"/>
        </w:rPr>
        <w:t>关于“</w:t>
      </w:r>
      <w:r>
        <w:rPr>
          <w:rFonts w:hint="eastAsia" w:ascii="方正小标宋简体" w:hAnsi="方正小标宋简体" w:eastAsia="方正小标宋简体" w:cs="方正小标宋简体"/>
          <w:color w:val="auto"/>
          <w:kern w:val="0"/>
          <w:sz w:val="44"/>
          <w:szCs w:val="44"/>
          <w:highlight w:val="none"/>
          <w:lang w:eastAsia="zh-CN"/>
        </w:rPr>
        <w:t>一种基于改进 EAST 算法的栅格地质图文本检测方法、基于果蝇优化算法的糖尿病视网膜病变分级深度学习方法两项专利许可</w:t>
      </w:r>
      <w:r>
        <w:rPr>
          <w:rFonts w:hint="eastAsia" w:ascii="方正小标宋简体" w:hAnsi="方正小标宋简体" w:eastAsia="方正小标宋简体" w:cs="方正小标宋简体"/>
          <w:color w:val="auto"/>
          <w:kern w:val="0"/>
          <w:sz w:val="44"/>
          <w:szCs w:val="44"/>
          <w:highlight w:val="none"/>
        </w:rPr>
        <w:t>”成果转化项目现金奖励信息公示</w:t>
      </w:r>
    </w:p>
    <w:p>
      <w:pPr>
        <w:widowControl/>
        <w:spacing w:line="500" w:lineRule="exact"/>
        <w:ind w:firstLine="560" w:firstLineChars="200"/>
        <w:jc w:val="center"/>
        <w:rPr>
          <w:rFonts w:ascii="仿宋_GB2312" w:hAnsi="仿宋_GB2312" w:eastAsia="仿宋_GB2312" w:cs="仿宋_GB2312"/>
          <w:color w:val="auto"/>
          <w:kern w:val="0"/>
          <w:sz w:val="28"/>
          <w:szCs w:val="28"/>
          <w:highlight w:val="none"/>
        </w:rPr>
      </w:pPr>
    </w:p>
    <w:p>
      <w:pPr>
        <w:keepLines/>
        <w:spacing w:line="440" w:lineRule="exact"/>
        <w:ind w:firstLine="562" w:firstLineChars="200"/>
        <w:jc w:val="center"/>
        <w:rPr>
          <w:rFonts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成奖</w:t>
      </w:r>
      <w:r>
        <w:rPr>
          <w:rFonts w:hint="eastAsia" w:ascii="仿宋" w:hAnsi="仿宋" w:eastAsia="仿宋" w:cs="仿宋"/>
          <w:b/>
          <w:bCs/>
          <w:color w:val="auto"/>
          <w:kern w:val="0"/>
          <w:sz w:val="28"/>
          <w:szCs w:val="28"/>
          <w:highlight w:val="none"/>
          <w:lang w:val="en-US" w:eastAsia="zh-CN"/>
        </w:rPr>
        <w:t>专</w:t>
      </w:r>
      <w:r>
        <w:rPr>
          <w:rFonts w:hint="eastAsia" w:ascii="仿宋" w:hAnsi="仿宋" w:eastAsia="仿宋" w:cs="仿宋"/>
          <w:b/>
          <w:bCs/>
          <w:color w:val="auto"/>
          <w:kern w:val="0"/>
          <w:sz w:val="28"/>
          <w:szCs w:val="28"/>
          <w:highlight w:val="none"/>
        </w:rPr>
        <w:t>〔2023〕</w:t>
      </w:r>
      <w:r>
        <w:rPr>
          <w:rFonts w:hint="eastAsia" w:ascii="仿宋" w:hAnsi="仿宋" w:eastAsia="仿宋" w:cs="仿宋"/>
          <w:b/>
          <w:bCs/>
          <w:color w:val="auto"/>
          <w:kern w:val="0"/>
          <w:sz w:val="28"/>
          <w:szCs w:val="28"/>
          <w:highlight w:val="none"/>
          <w:lang w:val="en-US" w:eastAsia="zh-CN"/>
        </w:rPr>
        <w:t>23</w:t>
      </w:r>
      <w:r>
        <w:rPr>
          <w:rFonts w:hint="eastAsia" w:ascii="仿宋" w:hAnsi="仿宋" w:eastAsia="仿宋" w:cs="仿宋"/>
          <w:b/>
          <w:bCs/>
          <w:color w:val="auto"/>
          <w:kern w:val="0"/>
          <w:sz w:val="28"/>
          <w:szCs w:val="28"/>
          <w:highlight w:val="none"/>
        </w:rPr>
        <w:t>号</w:t>
      </w:r>
    </w:p>
    <w:p>
      <w:pPr>
        <w:keepLines/>
        <w:spacing w:line="500" w:lineRule="exact"/>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根据《关于科技人员取得职务科技成果转化现金奖励信息公示办法的通知》（国科发政〔2018〕103号）和《桂林电子科技大学科技成果转化现金收益奖励办法（试行）》（桂电科〔2020〕18号）的规定文件要求，现对我校</w:t>
      </w:r>
      <w:r>
        <w:rPr>
          <w:rFonts w:hint="eastAsia" w:ascii="仿宋_GB2312" w:hAnsi="仿宋_GB2312" w:eastAsia="仿宋_GB2312" w:cs="仿宋_GB2312"/>
          <w:color w:val="auto"/>
          <w:kern w:val="0"/>
          <w:sz w:val="28"/>
          <w:szCs w:val="28"/>
          <w:highlight w:val="none"/>
          <w:lang w:eastAsia="zh-CN"/>
        </w:rPr>
        <w:t>王茂发</w:t>
      </w:r>
      <w:r>
        <w:rPr>
          <w:rFonts w:hint="eastAsia" w:ascii="仿宋_GB2312" w:hAnsi="仿宋_GB2312" w:eastAsia="仿宋_GB2312" w:cs="仿宋_GB2312"/>
          <w:color w:val="auto"/>
          <w:kern w:val="0"/>
          <w:sz w:val="28"/>
          <w:szCs w:val="28"/>
          <w:highlight w:val="none"/>
        </w:rPr>
        <w:t>科研团队的职务科技成果转化现金奖励相关信息公示如下:</w:t>
      </w:r>
    </w:p>
    <w:p>
      <w:pPr>
        <w:keepLines/>
        <w:shd w:val="clear" w:color="auto" w:fill="FFFFFF"/>
        <w:spacing w:line="500" w:lineRule="exact"/>
        <w:ind w:firstLine="645"/>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一、</w:t>
      </w:r>
      <w:r>
        <w:rPr>
          <w:rFonts w:hint="eastAsia" w:ascii="仿宋_GB2312" w:hAnsi="仿宋_GB2312" w:eastAsia="仿宋_GB2312" w:cs="仿宋_GB2312"/>
          <w:b/>
          <w:bCs/>
          <w:color w:val="auto"/>
          <w:kern w:val="0"/>
          <w:sz w:val="28"/>
          <w:szCs w:val="28"/>
          <w:highlight w:val="none"/>
        </w:rPr>
        <w:t>科技成果转化简介</w:t>
      </w:r>
    </w:p>
    <w:p>
      <w:pPr>
        <w:keepLines/>
        <w:spacing w:line="500" w:lineRule="exact"/>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(一) 成果名称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3384"/>
        <w:gridCol w:w="2160"/>
        <w:gridCol w:w="1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9" w:type="dxa"/>
          </w:tcPr>
          <w:p>
            <w:pPr>
              <w:keepLines/>
              <w:spacing w:line="500" w:lineRule="exact"/>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序号</w:t>
            </w:r>
          </w:p>
        </w:tc>
        <w:tc>
          <w:tcPr>
            <w:tcW w:w="3384" w:type="dxa"/>
          </w:tcPr>
          <w:p>
            <w:pPr>
              <w:keepLines/>
              <w:spacing w:line="500" w:lineRule="exact"/>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专利名称</w:t>
            </w:r>
          </w:p>
        </w:tc>
        <w:tc>
          <w:tcPr>
            <w:tcW w:w="2160" w:type="dxa"/>
          </w:tcPr>
          <w:p>
            <w:pPr>
              <w:keepLines/>
              <w:spacing w:line="500" w:lineRule="exact"/>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专利号</w:t>
            </w:r>
          </w:p>
        </w:tc>
        <w:tc>
          <w:tcPr>
            <w:tcW w:w="1920" w:type="dxa"/>
          </w:tcPr>
          <w:p>
            <w:pPr>
              <w:keepLines/>
              <w:spacing w:line="500" w:lineRule="exact"/>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发明人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859" w:type="dxa"/>
            <w:vAlign w:val="center"/>
          </w:tcPr>
          <w:p>
            <w:pPr>
              <w:keepLines/>
              <w:spacing w:line="500" w:lineRule="exact"/>
              <w:jc w:val="center"/>
              <w:rPr>
                <w:rFonts w:hint="eastAsia" w:ascii="仿宋_GB2312" w:hAnsi="仿宋_GB2312" w:eastAsia="仿宋_GB2312" w:cs="仿宋_GB2312"/>
                <w:color w:val="auto"/>
                <w:kern w:val="0"/>
                <w:sz w:val="20"/>
                <w:szCs w:val="20"/>
                <w:highlight w:val="none"/>
              </w:rPr>
            </w:pPr>
            <w:r>
              <w:rPr>
                <w:rFonts w:hint="eastAsia" w:ascii="仿宋_GB2312" w:hAnsi="仿宋_GB2312" w:eastAsia="仿宋_GB2312" w:cs="仿宋_GB2312"/>
                <w:color w:val="auto"/>
                <w:kern w:val="0"/>
                <w:sz w:val="20"/>
                <w:szCs w:val="20"/>
                <w:highlight w:val="none"/>
              </w:rPr>
              <w:t>1</w:t>
            </w:r>
          </w:p>
        </w:tc>
        <w:tc>
          <w:tcPr>
            <w:tcW w:w="338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 w:hAnsi="仿宋" w:eastAsia="仿宋" w:cs="仿宋"/>
                <w:color w:val="auto"/>
                <w:kern w:val="0"/>
                <w:sz w:val="24"/>
                <w:szCs w:val="24"/>
                <w:highlight w:val="none"/>
              </w:rPr>
            </w:pPr>
            <w:r>
              <w:rPr>
                <w:rFonts w:hint="default" w:ascii="仿宋" w:hAnsi="仿宋" w:eastAsia="仿宋" w:cs="仿宋"/>
                <w:color w:val="auto"/>
                <w:kern w:val="0"/>
                <w:sz w:val="24"/>
                <w:szCs w:val="24"/>
                <w:highlight w:val="none"/>
                <w:lang w:val="en-US" w:eastAsia="zh-CN"/>
              </w:rPr>
              <w:t>一种基于改进 EAST 算法的栅格地质图文本检测方法</w:t>
            </w:r>
          </w:p>
        </w:tc>
        <w:tc>
          <w:tcPr>
            <w:tcW w:w="216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 w:hAnsi="仿宋" w:eastAsia="仿宋" w:cs="仿宋"/>
                <w:color w:val="auto"/>
                <w:kern w:val="0"/>
                <w:sz w:val="24"/>
                <w:szCs w:val="24"/>
                <w:highlight w:val="none"/>
              </w:rPr>
            </w:pPr>
            <w:r>
              <w:rPr>
                <w:rFonts w:hint="default" w:ascii="仿宋" w:hAnsi="仿宋" w:eastAsia="仿宋" w:cs="仿宋"/>
                <w:color w:val="auto"/>
                <w:kern w:val="0"/>
                <w:sz w:val="24"/>
                <w:szCs w:val="24"/>
                <w:highlight w:val="none"/>
                <w:lang w:val="en-US" w:eastAsia="zh-CN"/>
              </w:rPr>
              <w:t>ZL202011184567.0</w:t>
            </w:r>
          </w:p>
        </w:tc>
        <w:tc>
          <w:tcPr>
            <w:tcW w:w="1920" w:type="dxa"/>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王茂发; 韩定良; 高光大; 王子民; 潘明华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859" w:type="dxa"/>
            <w:vAlign w:val="center"/>
          </w:tcPr>
          <w:p>
            <w:pPr>
              <w:keepLines/>
              <w:spacing w:line="500" w:lineRule="exact"/>
              <w:jc w:val="center"/>
              <w:rPr>
                <w:rFonts w:hint="eastAsia" w:ascii="仿宋_GB2312" w:hAnsi="仿宋_GB2312" w:eastAsia="仿宋_GB2312" w:cs="仿宋_GB2312"/>
                <w:color w:val="auto"/>
                <w:kern w:val="0"/>
                <w:sz w:val="20"/>
                <w:szCs w:val="20"/>
                <w:highlight w:val="none"/>
                <w:lang w:val="en-US" w:eastAsia="zh-CN"/>
              </w:rPr>
            </w:pPr>
            <w:r>
              <w:rPr>
                <w:rFonts w:hint="eastAsia" w:ascii="仿宋_GB2312" w:hAnsi="仿宋_GB2312" w:eastAsia="仿宋_GB2312" w:cs="仿宋_GB2312"/>
                <w:color w:val="auto"/>
                <w:kern w:val="0"/>
                <w:sz w:val="20"/>
                <w:szCs w:val="20"/>
                <w:highlight w:val="none"/>
                <w:lang w:val="en-US" w:eastAsia="zh-CN"/>
              </w:rPr>
              <w:t>2</w:t>
            </w:r>
          </w:p>
        </w:tc>
        <w:tc>
          <w:tcPr>
            <w:tcW w:w="3384"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 w:hAnsi="仿宋" w:eastAsia="仿宋" w:cs="仿宋"/>
                <w:color w:val="auto"/>
                <w:kern w:val="0"/>
                <w:sz w:val="24"/>
                <w:szCs w:val="24"/>
                <w:highlight w:val="none"/>
              </w:rPr>
            </w:pPr>
            <w:r>
              <w:rPr>
                <w:rFonts w:hint="default" w:ascii="仿宋" w:hAnsi="仿宋" w:eastAsia="仿宋" w:cs="仿宋"/>
                <w:color w:val="auto"/>
                <w:kern w:val="0"/>
                <w:sz w:val="24"/>
                <w:szCs w:val="24"/>
                <w:highlight w:val="none"/>
                <w:lang w:val="en-US" w:eastAsia="zh-CN"/>
              </w:rPr>
              <w:t>基于果蝇优化算法的糖尿病视网膜病变分级深度学习方法</w:t>
            </w:r>
          </w:p>
        </w:tc>
        <w:tc>
          <w:tcPr>
            <w:tcW w:w="2160" w:type="dxa"/>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 w:hAnsi="仿宋" w:eastAsia="仿宋" w:cs="仿宋"/>
                <w:color w:val="auto"/>
                <w:kern w:val="0"/>
                <w:sz w:val="24"/>
                <w:szCs w:val="24"/>
                <w:highlight w:val="none"/>
              </w:rPr>
            </w:pPr>
            <w:r>
              <w:rPr>
                <w:rFonts w:hint="default" w:ascii="仿宋" w:hAnsi="仿宋" w:eastAsia="仿宋" w:cs="仿宋"/>
                <w:color w:val="auto"/>
                <w:kern w:val="0"/>
                <w:sz w:val="24"/>
                <w:szCs w:val="24"/>
                <w:highlight w:val="none"/>
                <w:lang w:val="en-US" w:eastAsia="zh-CN"/>
              </w:rPr>
              <w:t>ZL202011103209.2</w:t>
            </w:r>
          </w:p>
        </w:tc>
        <w:tc>
          <w:tcPr>
            <w:tcW w:w="1920" w:type="dxa"/>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王茂发; 高光大; 单维锋；龚启舟；韩定良</w:t>
            </w:r>
          </w:p>
        </w:tc>
      </w:tr>
    </w:tbl>
    <w:p>
      <w:pPr>
        <w:keepLines/>
        <w:spacing w:line="500" w:lineRule="exact"/>
        <w:ind w:firstLine="560" w:firstLineChars="200"/>
        <w:jc w:val="both"/>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（二）转化方式：专利实施许可</w:t>
      </w:r>
    </w:p>
    <w:p>
      <w:pPr>
        <w:keepLines/>
        <w:spacing w:line="500" w:lineRule="exact"/>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（三）转化收入：人民币</w:t>
      </w:r>
      <w:r>
        <w:rPr>
          <w:rFonts w:hint="eastAsia" w:ascii="仿宋_GB2312" w:hAnsi="仿宋_GB2312" w:eastAsia="仿宋_GB2312" w:cs="仿宋_GB2312"/>
          <w:color w:val="auto"/>
          <w:kern w:val="0"/>
          <w:sz w:val="28"/>
          <w:szCs w:val="28"/>
          <w:highlight w:val="none"/>
          <w:lang w:val="en-US" w:eastAsia="zh-CN"/>
        </w:rPr>
        <w:t>0.2</w:t>
      </w:r>
      <w:r>
        <w:rPr>
          <w:rFonts w:hint="eastAsia" w:ascii="仿宋_GB2312" w:hAnsi="仿宋_GB2312" w:eastAsia="仿宋_GB2312" w:cs="仿宋_GB2312"/>
          <w:color w:val="auto"/>
          <w:kern w:val="0"/>
          <w:sz w:val="28"/>
          <w:szCs w:val="28"/>
          <w:highlight w:val="none"/>
        </w:rPr>
        <w:t>万圆整（￥</w:t>
      </w: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kern w:val="0"/>
          <w:sz w:val="28"/>
          <w:szCs w:val="28"/>
          <w:highlight w:val="none"/>
        </w:rPr>
        <w:t>000元）</w:t>
      </w:r>
    </w:p>
    <w:p>
      <w:pPr>
        <w:keepLines/>
        <w:spacing w:line="500" w:lineRule="exact"/>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（四）取得时间：202</w:t>
      </w:r>
      <w:r>
        <w:rPr>
          <w:rFonts w:hint="eastAsia" w:ascii="仿宋_GB2312" w:hAnsi="仿宋_GB2312" w:eastAsia="仿宋_GB2312" w:cs="仿宋_GB2312"/>
          <w:color w:val="auto"/>
          <w:kern w:val="0"/>
          <w:sz w:val="28"/>
          <w:szCs w:val="28"/>
          <w:highlight w:val="none"/>
          <w:lang w:val="en-US" w:eastAsia="zh-CN"/>
        </w:rPr>
        <w:t>3</w:t>
      </w:r>
      <w:r>
        <w:rPr>
          <w:rFonts w:hint="eastAsia" w:ascii="仿宋_GB2312" w:hAnsi="仿宋_GB2312" w:eastAsia="仿宋_GB2312" w:cs="仿宋_GB2312"/>
          <w:color w:val="auto"/>
          <w:kern w:val="0"/>
          <w:sz w:val="28"/>
          <w:szCs w:val="28"/>
          <w:highlight w:val="none"/>
        </w:rPr>
        <w:t>年1</w:t>
      </w:r>
      <w:r>
        <w:rPr>
          <w:rFonts w:hint="eastAsia" w:ascii="仿宋_GB2312" w:hAnsi="仿宋_GB2312" w:eastAsia="仿宋_GB2312" w:cs="仿宋_GB2312"/>
          <w:color w:val="auto"/>
          <w:kern w:val="0"/>
          <w:sz w:val="28"/>
          <w:szCs w:val="28"/>
          <w:highlight w:val="none"/>
          <w:lang w:val="en-US" w:eastAsia="zh-CN"/>
        </w:rPr>
        <w:t>1</w:t>
      </w:r>
      <w:r>
        <w:rPr>
          <w:rFonts w:hint="eastAsia" w:ascii="仿宋_GB2312" w:hAnsi="仿宋_GB2312" w:eastAsia="仿宋_GB2312" w:cs="仿宋_GB2312"/>
          <w:color w:val="auto"/>
          <w:kern w:val="0"/>
          <w:sz w:val="28"/>
          <w:szCs w:val="28"/>
          <w:highlight w:val="none"/>
        </w:rPr>
        <w:t>月</w:t>
      </w:r>
      <w:r>
        <w:rPr>
          <w:rFonts w:hint="eastAsia" w:ascii="仿宋_GB2312" w:hAnsi="仿宋_GB2312" w:eastAsia="仿宋_GB2312" w:cs="仿宋_GB2312"/>
          <w:color w:val="auto"/>
          <w:kern w:val="0"/>
          <w:sz w:val="28"/>
          <w:szCs w:val="28"/>
          <w:highlight w:val="none"/>
          <w:lang w:val="en-US" w:eastAsia="zh-CN"/>
        </w:rPr>
        <w:t>2</w:t>
      </w:r>
      <w:r>
        <w:rPr>
          <w:rFonts w:hint="eastAsia" w:ascii="仿宋_GB2312" w:hAnsi="仿宋_GB2312" w:eastAsia="仿宋_GB2312" w:cs="仿宋_GB2312"/>
          <w:color w:val="auto"/>
          <w:kern w:val="0"/>
          <w:sz w:val="28"/>
          <w:szCs w:val="28"/>
          <w:highlight w:val="none"/>
        </w:rPr>
        <w:t>日</w:t>
      </w:r>
    </w:p>
    <w:p>
      <w:pPr>
        <w:keepLines/>
        <w:spacing w:line="500" w:lineRule="exact"/>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（五）扣除成本：0元</w:t>
      </w:r>
    </w:p>
    <w:p>
      <w:pPr>
        <w:spacing w:line="500" w:lineRule="exact"/>
        <w:ind w:firstLine="562"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b/>
          <w:color w:val="auto"/>
          <w:kern w:val="0"/>
          <w:sz w:val="28"/>
          <w:szCs w:val="28"/>
          <w:highlight w:val="none"/>
        </w:rPr>
        <w:t>二、现金奖励信息</w:t>
      </w:r>
    </w:p>
    <w:p>
      <w:pPr>
        <w:spacing w:line="500" w:lineRule="exact"/>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拟将净收益99%(</w:t>
      </w:r>
      <w:r>
        <w:rPr>
          <w:rFonts w:hint="eastAsia" w:ascii="仿宋_GB2312" w:hAnsi="仿宋_GB2312" w:eastAsia="仿宋_GB2312" w:cs="仿宋_GB2312"/>
          <w:color w:val="auto"/>
          <w:kern w:val="0"/>
          <w:sz w:val="28"/>
          <w:szCs w:val="28"/>
          <w:highlight w:val="none"/>
          <w:lang w:val="en-US" w:eastAsia="zh-CN"/>
        </w:rPr>
        <w:t>198</w:t>
      </w:r>
      <w:r>
        <w:rPr>
          <w:rFonts w:hint="eastAsia" w:ascii="仿宋_GB2312" w:hAnsi="仿宋_GB2312" w:eastAsia="仿宋_GB2312" w:cs="仿宋_GB2312"/>
          <w:color w:val="auto"/>
          <w:kern w:val="0"/>
          <w:sz w:val="28"/>
          <w:szCs w:val="28"/>
          <w:highlight w:val="none"/>
        </w:rPr>
        <w:t>0元)分配给研发团队主要成果完成人，提留净收益99%(</w:t>
      </w:r>
      <w:r>
        <w:rPr>
          <w:rFonts w:hint="eastAsia" w:ascii="仿宋_GB2312" w:hAnsi="仿宋_GB2312" w:eastAsia="仿宋_GB2312" w:cs="仿宋_GB2312"/>
          <w:color w:val="auto"/>
          <w:kern w:val="0"/>
          <w:sz w:val="28"/>
          <w:szCs w:val="28"/>
          <w:highlight w:val="none"/>
          <w:lang w:val="en-US" w:eastAsia="zh-CN"/>
        </w:rPr>
        <w:t>198</w:t>
      </w:r>
      <w:r>
        <w:rPr>
          <w:rFonts w:hint="eastAsia" w:ascii="仿宋_GB2312" w:hAnsi="仿宋_GB2312" w:eastAsia="仿宋_GB2312" w:cs="仿宋_GB2312"/>
          <w:color w:val="auto"/>
          <w:kern w:val="0"/>
          <w:sz w:val="28"/>
          <w:szCs w:val="28"/>
          <w:highlight w:val="none"/>
        </w:rPr>
        <w:t>0元)作为后续科研经费。拟发放现金奖励金额合计零圆整（￥</w:t>
      </w:r>
      <w:r>
        <w:rPr>
          <w:rFonts w:hint="eastAsia" w:ascii="仿宋_GB2312" w:hAnsi="仿宋_GB2312" w:eastAsia="仿宋_GB2312" w:cs="仿宋_GB2312"/>
          <w:color w:val="auto"/>
          <w:kern w:val="0"/>
          <w:sz w:val="28"/>
          <w:szCs w:val="28"/>
          <w:highlight w:val="none"/>
          <w:lang w:val="en-US" w:eastAsia="zh-CN"/>
        </w:rPr>
        <w:t>0</w:t>
      </w:r>
      <w:r>
        <w:rPr>
          <w:rFonts w:hint="eastAsia" w:ascii="仿宋_GB2312" w:hAnsi="仿宋_GB2312" w:eastAsia="仿宋_GB2312" w:cs="仿宋_GB2312"/>
          <w:color w:val="auto"/>
          <w:kern w:val="0"/>
          <w:sz w:val="28"/>
          <w:szCs w:val="28"/>
          <w:highlight w:val="none"/>
        </w:rPr>
        <w:t>元）。</w:t>
      </w:r>
    </w:p>
    <w:p>
      <w:pPr>
        <w:widowControl/>
        <w:spacing w:line="560" w:lineRule="exact"/>
        <w:ind w:firstLine="562" w:firstLineChars="200"/>
        <w:jc w:val="left"/>
        <w:rPr>
          <w:rFonts w:ascii="仿宋_GB2312" w:hAnsi="仿宋_GB2312" w:eastAsia="仿宋_GB2312" w:cs="仿宋_GB2312"/>
          <w:b/>
          <w:color w:val="auto"/>
          <w:kern w:val="0"/>
          <w:sz w:val="28"/>
          <w:szCs w:val="28"/>
          <w:highlight w:val="none"/>
        </w:rPr>
      </w:pPr>
      <w:r>
        <w:rPr>
          <w:rFonts w:hint="eastAsia" w:ascii="仿宋_GB2312" w:hAnsi="仿宋_GB2312" w:eastAsia="仿宋_GB2312" w:cs="仿宋_GB2312"/>
          <w:b/>
          <w:color w:val="auto"/>
          <w:kern w:val="0"/>
          <w:sz w:val="28"/>
          <w:szCs w:val="28"/>
          <w:highlight w:val="none"/>
        </w:rPr>
        <w:t>三、现金奖励人员信息</w:t>
      </w:r>
    </w:p>
    <w:tbl>
      <w:tblPr>
        <w:tblStyle w:val="7"/>
        <w:tblW w:w="7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1"/>
        <w:gridCol w:w="1263"/>
        <w:gridCol w:w="1572"/>
        <w:gridCol w:w="2268"/>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1" w:type="dxa"/>
          </w:tcPr>
          <w:p>
            <w:pPr>
              <w:spacing w:line="560" w:lineRule="exact"/>
              <w:jc w:val="center"/>
              <w:rPr>
                <w:rFonts w:ascii="仿宋" w:hAnsi="仿宋" w:eastAsia="仿宋" w:cs="仿宋"/>
                <w:b/>
                <w:bCs/>
                <w:color w:val="auto"/>
                <w:kern w:val="0"/>
                <w:sz w:val="28"/>
                <w:szCs w:val="28"/>
                <w:highlight w:val="none"/>
              </w:rPr>
            </w:pPr>
            <w:r>
              <w:rPr>
                <w:rFonts w:hint="eastAsia" w:ascii="仿宋" w:hAnsi="仿宋" w:eastAsia="仿宋" w:cs="仿宋"/>
                <w:color w:val="auto"/>
                <w:kern w:val="0"/>
                <w:sz w:val="28"/>
                <w:szCs w:val="28"/>
                <w:highlight w:val="none"/>
              </w:rPr>
              <w:t> </w:t>
            </w:r>
            <w:r>
              <w:rPr>
                <w:rFonts w:hint="eastAsia" w:ascii="仿宋" w:hAnsi="仿宋" w:eastAsia="仿宋" w:cs="仿宋"/>
                <w:b/>
                <w:bCs/>
                <w:color w:val="auto"/>
                <w:kern w:val="0"/>
                <w:sz w:val="28"/>
                <w:szCs w:val="28"/>
                <w:highlight w:val="none"/>
              </w:rPr>
              <w:t>序号</w:t>
            </w:r>
          </w:p>
        </w:tc>
        <w:tc>
          <w:tcPr>
            <w:tcW w:w="1263" w:type="dxa"/>
          </w:tcPr>
          <w:p>
            <w:pPr>
              <w:spacing w:line="560" w:lineRule="exact"/>
              <w:jc w:val="center"/>
              <w:rPr>
                <w:rFonts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姓名</w:t>
            </w:r>
          </w:p>
        </w:tc>
        <w:tc>
          <w:tcPr>
            <w:tcW w:w="1572" w:type="dxa"/>
          </w:tcPr>
          <w:p>
            <w:pPr>
              <w:spacing w:line="560" w:lineRule="exact"/>
              <w:jc w:val="center"/>
              <w:rPr>
                <w:rFonts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岗位职务</w:t>
            </w:r>
          </w:p>
        </w:tc>
        <w:tc>
          <w:tcPr>
            <w:tcW w:w="2268" w:type="dxa"/>
          </w:tcPr>
          <w:p>
            <w:pPr>
              <w:spacing w:line="560" w:lineRule="exact"/>
              <w:jc w:val="center"/>
              <w:rPr>
                <w:rFonts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贡献情况</w:t>
            </w:r>
          </w:p>
        </w:tc>
        <w:tc>
          <w:tcPr>
            <w:tcW w:w="1799" w:type="dxa"/>
          </w:tcPr>
          <w:p>
            <w:pPr>
              <w:spacing w:line="560" w:lineRule="exact"/>
              <w:jc w:val="center"/>
              <w:rPr>
                <w:rFonts w:ascii="仿宋" w:hAnsi="仿宋" w:eastAsia="仿宋" w:cs="仿宋"/>
                <w:b/>
                <w:bCs/>
                <w:color w:val="auto"/>
                <w:kern w:val="0"/>
                <w:sz w:val="28"/>
                <w:szCs w:val="28"/>
                <w:highlight w:val="none"/>
              </w:rPr>
            </w:pPr>
            <w:r>
              <w:rPr>
                <w:rFonts w:hint="eastAsia" w:ascii="仿宋" w:hAnsi="仿宋" w:eastAsia="仿宋" w:cs="仿宋"/>
                <w:b/>
                <w:bCs/>
                <w:color w:val="auto"/>
                <w:kern w:val="0"/>
                <w:sz w:val="28"/>
                <w:szCs w:val="28"/>
                <w:highlight w:val="none"/>
              </w:rPr>
              <w:t>分配金额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1" w:type="dxa"/>
            <w:vAlign w:val="center"/>
          </w:tcPr>
          <w:p>
            <w:pPr>
              <w:spacing w:line="560" w:lineRule="exact"/>
              <w:jc w:val="center"/>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1</w:t>
            </w:r>
          </w:p>
        </w:tc>
        <w:tc>
          <w:tcPr>
            <w:tcW w:w="1263" w:type="dxa"/>
            <w:vAlign w:val="center"/>
          </w:tcPr>
          <w:p>
            <w:pPr>
              <w:spacing w:line="560" w:lineRule="exact"/>
              <w:jc w:val="center"/>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eastAsia="zh-CN"/>
              </w:rPr>
              <w:t>无</w:t>
            </w:r>
          </w:p>
        </w:tc>
        <w:tc>
          <w:tcPr>
            <w:tcW w:w="1572" w:type="dxa"/>
            <w:vAlign w:val="center"/>
          </w:tcPr>
          <w:p>
            <w:pPr>
              <w:spacing w:line="560" w:lineRule="exact"/>
              <w:jc w:val="center"/>
              <w:rPr>
                <w:rFonts w:hint="eastAsia" w:ascii="仿宋" w:hAnsi="仿宋" w:eastAsia="仿宋" w:cs="仿宋"/>
                <w:color w:val="auto"/>
                <w:kern w:val="0"/>
                <w:sz w:val="24"/>
                <w:szCs w:val="24"/>
                <w:highlight w:val="none"/>
                <w:lang w:eastAsia="zh-CN"/>
              </w:rPr>
            </w:pPr>
          </w:p>
        </w:tc>
        <w:tc>
          <w:tcPr>
            <w:tcW w:w="2268" w:type="dxa"/>
            <w:vAlign w:val="center"/>
          </w:tcPr>
          <w:p>
            <w:pPr>
              <w:spacing w:line="560" w:lineRule="exact"/>
              <w:jc w:val="center"/>
              <w:rPr>
                <w:rFonts w:ascii="仿宋" w:hAnsi="仿宋" w:eastAsia="仿宋" w:cs="仿宋"/>
                <w:color w:val="auto"/>
                <w:kern w:val="0"/>
                <w:sz w:val="24"/>
                <w:szCs w:val="24"/>
                <w:highlight w:val="none"/>
              </w:rPr>
            </w:pPr>
          </w:p>
        </w:tc>
        <w:tc>
          <w:tcPr>
            <w:tcW w:w="1799" w:type="dxa"/>
            <w:vAlign w:val="center"/>
          </w:tcPr>
          <w:p>
            <w:pPr>
              <w:spacing w:line="56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54" w:type="dxa"/>
            <w:gridSpan w:val="4"/>
            <w:vAlign w:val="center"/>
          </w:tcPr>
          <w:p>
            <w:pPr>
              <w:spacing w:line="560" w:lineRule="exact"/>
              <w:jc w:val="center"/>
              <w:rPr>
                <w:rFonts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合计</w:t>
            </w:r>
          </w:p>
        </w:tc>
        <w:tc>
          <w:tcPr>
            <w:tcW w:w="1799" w:type="dxa"/>
            <w:vAlign w:val="center"/>
          </w:tcPr>
          <w:p>
            <w:pPr>
              <w:spacing w:line="560" w:lineRule="exact"/>
              <w:jc w:val="center"/>
              <w:rPr>
                <w:rFonts w:hint="default" w:ascii="仿宋" w:hAnsi="仿宋" w:eastAsia="仿宋" w:cs="仿宋"/>
                <w:color w:val="auto"/>
                <w:kern w:val="0"/>
                <w:sz w:val="24"/>
                <w:szCs w:val="24"/>
                <w:highlight w:val="none"/>
                <w:lang w:val="en-US" w:eastAsia="zh-CN"/>
              </w:rPr>
            </w:pPr>
            <w:r>
              <w:rPr>
                <w:rFonts w:hint="eastAsia" w:ascii="仿宋" w:hAnsi="仿宋" w:eastAsia="仿宋" w:cs="仿宋"/>
                <w:color w:val="auto"/>
                <w:kern w:val="0"/>
                <w:sz w:val="24"/>
                <w:szCs w:val="24"/>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7853" w:type="dxa"/>
            <w:gridSpan w:val="5"/>
            <w:vAlign w:val="center"/>
          </w:tcPr>
          <w:p>
            <w:pPr>
              <w:widowControl/>
              <w:spacing w:line="500" w:lineRule="exact"/>
              <w:jc w:val="center"/>
              <w:rPr>
                <w:rFonts w:ascii="仿宋" w:hAnsi="仿宋" w:eastAsia="仿宋" w:cs="仿宋"/>
                <w:color w:val="auto"/>
                <w:kern w:val="0"/>
                <w:sz w:val="24"/>
                <w:szCs w:val="24"/>
                <w:highlight w:val="none"/>
              </w:rPr>
            </w:pPr>
            <w:r>
              <w:rPr>
                <w:rFonts w:hint="eastAsia" w:ascii="仿宋" w:hAnsi="仿宋" w:eastAsia="仿宋" w:cs="仿宋"/>
                <w:bCs/>
                <w:color w:val="auto"/>
                <w:kern w:val="0"/>
                <w:sz w:val="28"/>
                <w:szCs w:val="28"/>
                <w:highlight w:val="none"/>
              </w:rPr>
              <w:t>涉及的其他发明人现金奖励为0元。</w:t>
            </w:r>
          </w:p>
        </w:tc>
      </w:tr>
    </w:tbl>
    <w:p>
      <w:pPr>
        <w:widowControl/>
        <w:spacing w:line="500" w:lineRule="exact"/>
        <w:ind w:firstLine="562"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b/>
          <w:color w:val="auto"/>
          <w:kern w:val="0"/>
          <w:sz w:val="28"/>
          <w:szCs w:val="28"/>
          <w:highlight w:val="none"/>
        </w:rPr>
        <w:t>四、现金拟发放时间</w:t>
      </w:r>
      <w:r>
        <w:rPr>
          <w:rFonts w:hint="eastAsia" w:ascii="仿宋_GB2312" w:hAnsi="仿宋_GB2312" w:eastAsia="仿宋_GB2312" w:cs="仿宋_GB2312"/>
          <w:color w:val="auto"/>
          <w:kern w:val="0"/>
          <w:sz w:val="28"/>
          <w:szCs w:val="28"/>
          <w:highlight w:val="none"/>
        </w:rPr>
        <w:t>：</w:t>
      </w:r>
      <w:r>
        <w:rPr>
          <w:rFonts w:ascii="仿宋_GB2312" w:hAnsi="仿宋_GB2312" w:eastAsia="仿宋_GB2312" w:cs="仿宋_GB2312"/>
          <w:color w:val="auto"/>
          <w:kern w:val="0"/>
          <w:sz w:val="28"/>
          <w:szCs w:val="28"/>
          <w:highlight w:val="none"/>
        </w:rPr>
        <w:t>202</w:t>
      </w:r>
      <w:r>
        <w:rPr>
          <w:rFonts w:hint="eastAsia" w:ascii="仿宋_GB2312" w:hAnsi="仿宋_GB2312" w:eastAsia="仿宋_GB2312" w:cs="仿宋_GB2312"/>
          <w:color w:val="auto"/>
          <w:kern w:val="0"/>
          <w:sz w:val="28"/>
          <w:szCs w:val="28"/>
          <w:highlight w:val="none"/>
        </w:rPr>
        <w:t>3年</w:t>
      </w:r>
      <w:r>
        <w:rPr>
          <w:rFonts w:hint="eastAsia" w:ascii="仿宋_GB2312" w:hAnsi="仿宋_GB2312" w:eastAsia="仿宋_GB2312" w:cs="仿宋_GB2312"/>
          <w:color w:val="auto"/>
          <w:kern w:val="0"/>
          <w:sz w:val="28"/>
          <w:szCs w:val="28"/>
          <w:highlight w:val="none"/>
          <w:lang w:val="en-US" w:eastAsia="zh-CN"/>
        </w:rPr>
        <w:t>12</w:t>
      </w:r>
      <w:r>
        <w:rPr>
          <w:rFonts w:hint="eastAsia" w:ascii="仿宋_GB2312" w:hAnsi="仿宋_GB2312" w:eastAsia="仿宋_GB2312" w:cs="仿宋_GB2312"/>
          <w:color w:val="auto"/>
          <w:kern w:val="0"/>
          <w:sz w:val="28"/>
          <w:szCs w:val="28"/>
          <w:highlight w:val="none"/>
        </w:rPr>
        <w:t>月</w:t>
      </w:r>
    </w:p>
    <w:p>
      <w:pPr>
        <w:widowControl/>
        <w:spacing w:line="500" w:lineRule="exact"/>
        <w:ind w:firstLine="562" w:firstLineChars="200"/>
        <w:jc w:val="left"/>
        <w:rPr>
          <w:rFonts w:ascii="仿宋_GB2312" w:hAnsi="仿宋_GB2312" w:eastAsia="仿宋_GB2312" w:cs="仿宋_GB2312"/>
          <w:b/>
          <w:color w:val="auto"/>
          <w:kern w:val="0"/>
          <w:sz w:val="28"/>
          <w:szCs w:val="28"/>
          <w:highlight w:val="none"/>
        </w:rPr>
      </w:pPr>
      <w:r>
        <w:rPr>
          <w:rFonts w:hint="eastAsia" w:ascii="仿宋_GB2312" w:hAnsi="仿宋_GB2312" w:eastAsia="仿宋_GB2312" w:cs="仿宋_GB2312"/>
          <w:b/>
          <w:color w:val="auto"/>
          <w:kern w:val="0"/>
          <w:sz w:val="28"/>
          <w:szCs w:val="28"/>
          <w:highlight w:val="none"/>
        </w:rPr>
        <w:t>五、技术合同登记信息</w:t>
      </w:r>
    </w:p>
    <w:p>
      <w:pPr>
        <w:widowControl/>
        <w:spacing w:line="500" w:lineRule="exact"/>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技术合同登记机构：桂林市生产力促进中心</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911"/>
        <w:gridCol w:w="2256"/>
        <w:gridCol w:w="2000"/>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widowControl/>
              <w:spacing w:line="500" w:lineRule="exact"/>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序号</w:t>
            </w:r>
          </w:p>
        </w:tc>
        <w:tc>
          <w:tcPr>
            <w:tcW w:w="1911" w:type="dxa"/>
            <w:vAlign w:val="center"/>
          </w:tcPr>
          <w:p>
            <w:pPr>
              <w:widowControl/>
              <w:spacing w:line="500" w:lineRule="exact"/>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合同登记号</w:t>
            </w:r>
          </w:p>
        </w:tc>
        <w:tc>
          <w:tcPr>
            <w:tcW w:w="2256" w:type="dxa"/>
            <w:vAlign w:val="center"/>
          </w:tcPr>
          <w:p>
            <w:pPr>
              <w:widowControl/>
              <w:spacing w:line="500" w:lineRule="exact"/>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合同名称</w:t>
            </w:r>
          </w:p>
        </w:tc>
        <w:tc>
          <w:tcPr>
            <w:tcW w:w="2000" w:type="dxa"/>
            <w:vAlign w:val="center"/>
          </w:tcPr>
          <w:p>
            <w:pPr>
              <w:widowControl/>
              <w:spacing w:line="500" w:lineRule="exact"/>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买方名称</w:t>
            </w:r>
          </w:p>
        </w:tc>
        <w:tc>
          <w:tcPr>
            <w:tcW w:w="1267" w:type="dxa"/>
            <w:vAlign w:val="center"/>
          </w:tcPr>
          <w:p>
            <w:pPr>
              <w:widowControl/>
              <w:spacing w:line="440" w:lineRule="exact"/>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技术交易额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tcPr>
          <w:p>
            <w:pPr>
              <w:widowControl/>
              <w:spacing w:line="500" w:lineRule="exact"/>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1</w:t>
            </w:r>
          </w:p>
        </w:tc>
        <w:tc>
          <w:tcPr>
            <w:tcW w:w="1911" w:type="dxa"/>
          </w:tcPr>
          <w:p>
            <w:pPr>
              <w:keepLines/>
              <w:spacing w:line="500" w:lineRule="exact"/>
              <w:jc w:val="center"/>
              <w:rPr>
                <w:rFonts w:hint="default" w:ascii="仿宋_GB2312" w:hAnsi="仿宋_GB2312" w:eastAsia="仿宋_GB2312" w:cs="仿宋_GB2312"/>
                <w:color w:val="auto"/>
                <w:kern w:val="0"/>
                <w:szCs w:val="21"/>
                <w:highlight w:val="none"/>
                <w:lang w:val="en-US" w:eastAsia="zh-CN"/>
              </w:rPr>
            </w:pPr>
            <w:r>
              <w:rPr>
                <w:rFonts w:hint="eastAsia" w:ascii="仿宋_GB2312" w:hAnsi="仿宋_GB2312" w:eastAsia="仿宋_GB2312" w:cs="仿宋_GB2312"/>
                <w:color w:val="auto"/>
                <w:kern w:val="0"/>
                <w:szCs w:val="21"/>
                <w:highlight w:val="none"/>
              </w:rPr>
              <w:t>202</w:t>
            </w:r>
            <w:r>
              <w:rPr>
                <w:rFonts w:hint="eastAsia" w:ascii="仿宋_GB2312" w:hAnsi="仿宋_GB2312" w:eastAsia="仿宋_GB2312" w:cs="仿宋_GB2312"/>
                <w:color w:val="auto"/>
                <w:kern w:val="0"/>
                <w:szCs w:val="21"/>
                <w:highlight w:val="none"/>
                <w:lang w:val="en-US" w:eastAsia="zh-CN"/>
              </w:rPr>
              <w:t>3</w:t>
            </w:r>
            <w:r>
              <w:rPr>
                <w:rFonts w:hint="eastAsia" w:ascii="仿宋_GB2312" w:hAnsi="仿宋_GB2312" w:eastAsia="仿宋_GB2312" w:cs="仿宋_GB2312"/>
                <w:color w:val="auto"/>
                <w:kern w:val="0"/>
                <w:szCs w:val="21"/>
                <w:highlight w:val="none"/>
              </w:rPr>
              <w:t>450004000</w:t>
            </w:r>
            <w:r>
              <w:rPr>
                <w:rFonts w:hint="eastAsia" w:ascii="仿宋_GB2312" w:hAnsi="仿宋_GB2312" w:eastAsia="仿宋_GB2312" w:cs="仿宋_GB2312"/>
                <w:color w:val="auto"/>
                <w:kern w:val="0"/>
                <w:szCs w:val="21"/>
                <w:highlight w:val="none"/>
                <w:lang w:val="en-US" w:eastAsia="zh-CN"/>
              </w:rPr>
              <w:t>487</w:t>
            </w:r>
          </w:p>
        </w:tc>
        <w:tc>
          <w:tcPr>
            <w:tcW w:w="2256" w:type="dxa"/>
            <w:vAlign w:val="top"/>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ascii="仿宋_GB2312" w:hAnsi="仿宋_GB2312" w:eastAsia="仿宋_GB2312" w:cs="仿宋_GB2312"/>
                <w:color w:val="auto"/>
                <w:kern w:val="0"/>
                <w:szCs w:val="21"/>
                <w:highlight w:val="none"/>
              </w:rPr>
            </w:pPr>
            <w:r>
              <w:rPr>
                <w:rFonts w:hint="eastAsia" w:ascii="仿宋" w:hAnsi="仿宋" w:eastAsia="仿宋" w:cs="宋体"/>
                <w:color w:val="auto"/>
                <w:kern w:val="0"/>
                <w:sz w:val="24"/>
                <w:highlight w:val="none"/>
                <w:lang w:eastAsia="zh-CN"/>
              </w:rPr>
              <w:t>一种基于改进 EAST 算法的栅格地质图文本检测方法、基于果蝇优化算法的糖尿病视网膜病变分级深度学习方法两项专利许可</w:t>
            </w:r>
          </w:p>
        </w:tc>
        <w:tc>
          <w:tcPr>
            <w:tcW w:w="2000" w:type="dxa"/>
            <w:vAlign w:val="top"/>
          </w:tcPr>
          <w:p>
            <w:pPr>
              <w:keepNext w:val="0"/>
              <w:keepLines w:val="0"/>
              <w:pageBreakBefore w:val="0"/>
              <w:widowControl/>
              <w:kinsoku/>
              <w:wordWrap/>
              <w:overflowPunct/>
              <w:topLinePunct w:val="0"/>
              <w:autoSpaceDE/>
              <w:autoSpaceDN/>
              <w:bidi w:val="0"/>
              <w:adjustRightInd/>
              <w:snapToGrid w:val="0"/>
              <w:spacing w:line="240" w:lineRule="auto"/>
              <w:jc w:val="left"/>
              <w:textAlignment w:val="auto"/>
              <w:rPr>
                <w:rFonts w:ascii="仿宋_GB2312" w:hAnsi="仿宋_GB2312" w:eastAsia="仿宋_GB2312" w:cs="仿宋_GB2312"/>
                <w:color w:val="auto"/>
                <w:kern w:val="0"/>
                <w:szCs w:val="21"/>
                <w:highlight w:val="none"/>
              </w:rPr>
            </w:pPr>
            <w:r>
              <w:rPr>
                <w:rFonts w:hint="eastAsia" w:ascii="仿宋" w:hAnsi="仿宋" w:eastAsia="仿宋" w:cs="宋体"/>
                <w:color w:val="auto"/>
                <w:kern w:val="0"/>
                <w:sz w:val="24"/>
                <w:highlight w:val="none"/>
                <w:lang w:eastAsia="zh-CN"/>
              </w:rPr>
              <w:t>桂林轻鸿科技有限公司</w:t>
            </w:r>
          </w:p>
        </w:tc>
        <w:tc>
          <w:tcPr>
            <w:tcW w:w="1267" w:type="dxa"/>
          </w:tcPr>
          <w:p>
            <w:pPr>
              <w:widowControl/>
              <w:spacing w:line="500" w:lineRule="exact"/>
              <w:jc w:val="left"/>
              <w:rPr>
                <w:rFonts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szCs w:val="21"/>
                <w:highlight w:val="none"/>
                <w:lang w:val="en-US" w:eastAsia="zh-CN"/>
              </w:rPr>
              <w:t>2000</w:t>
            </w:r>
            <w:r>
              <w:rPr>
                <w:rFonts w:hint="eastAsia" w:ascii="仿宋_GB2312" w:hAnsi="仿宋_GB2312" w:eastAsia="仿宋_GB2312" w:cs="仿宋_GB2312"/>
                <w:color w:val="auto"/>
                <w:kern w:val="0"/>
                <w:szCs w:val="21"/>
                <w:highlight w:val="none"/>
              </w:rPr>
              <w:t>元</w:t>
            </w:r>
          </w:p>
        </w:tc>
      </w:tr>
    </w:tbl>
    <w:p>
      <w:pPr>
        <w:widowControl/>
        <w:spacing w:line="500" w:lineRule="exact"/>
        <w:jc w:val="left"/>
        <w:rPr>
          <w:rFonts w:ascii="仿宋_GB2312" w:hAnsi="仿宋_GB2312" w:eastAsia="仿宋_GB2312" w:cs="仿宋_GB2312"/>
          <w:color w:val="auto"/>
          <w:kern w:val="0"/>
          <w:sz w:val="28"/>
          <w:szCs w:val="28"/>
          <w:highlight w:val="none"/>
        </w:rPr>
      </w:pPr>
    </w:p>
    <w:p>
      <w:pPr>
        <w:widowControl/>
        <w:spacing w:line="500" w:lineRule="exact"/>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以上成果转化奖励资金来源于成果转化收益所得。特此公示，公示期15个工作日，自202</w:t>
      </w:r>
      <w:r>
        <w:rPr>
          <w:rFonts w:hint="eastAsia" w:ascii="仿宋_GB2312" w:hAnsi="仿宋_GB2312" w:eastAsia="仿宋_GB2312" w:cs="仿宋_GB2312"/>
          <w:color w:val="auto"/>
          <w:kern w:val="0"/>
          <w:sz w:val="28"/>
          <w:szCs w:val="28"/>
          <w:highlight w:val="none"/>
          <w:lang w:val="en-US" w:eastAsia="zh-CN"/>
        </w:rPr>
        <w:t>3</w:t>
      </w:r>
      <w:r>
        <w:rPr>
          <w:rFonts w:hint="eastAsia" w:ascii="仿宋_GB2312" w:hAnsi="仿宋_GB2312" w:eastAsia="仿宋_GB2312" w:cs="仿宋_GB2312"/>
          <w:color w:val="auto"/>
          <w:kern w:val="0"/>
          <w:sz w:val="28"/>
          <w:szCs w:val="28"/>
          <w:highlight w:val="none"/>
        </w:rPr>
        <w:t>年</w:t>
      </w:r>
      <w:r>
        <w:rPr>
          <w:rFonts w:hint="eastAsia" w:ascii="仿宋_GB2312" w:hAnsi="仿宋_GB2312" w:eastAsia="仿宋_GB2312" w:cs="仿宋_GB2312"/>
          <w:color w:val="auto"/>
          <w:kern w:val="0"/>
          <w:sz w:val="28"/>
          <w:szCs w:val="28"/>
          <w:highlight w:val="none"/>
          <w:lang w:val="en-US" w:eastAsia="zh-CN"/>
        </w:rPr>
        <w:t>12</w:t>
      </w:r>
      <w:r>
        <w:rPr>
          <w:rFonts w:hint="eastAsia" w:ascii="仿宋_GB2312" w:hAnsi="仿宋_GB2312" w:eastAsia="仿宋_GB2312" w:cs="仿宋_GB2312"/>
          <w:color w:val="auto"/>
          <w:kern w:val="0"/>
          <w:sz w:val="28"/>
          <w:szCs w:val="28"/>
          <w:highlight w:val="none"/>
        </w:rPr>
        <w:t>月</w:t>
      </w:r>
      <w:r>
        <w:rPr>
          <w:rFonts w:hint="eastAsia" w:ascii="仿宋_GB2312" w:hAnsi="仿宋_GB2312" w:eastAsia="仿宋_GB2312" w:cs="仿宋_GB2312"/>
          <w:color w:val="auto"/>
          <w:kern w:val="0"/>
          <w:sz w:val="28"/>
          <w:szCs w:val="28"/>
          <w:highlight w:val="none"/>
          <w:lang w:val="en-US" w:eastAsia="zh-CN"/>
        </w:rPr>
        <w:t>1</w:t>
      </w:r>
      <w:r>
        <w:rPr>
          <w:rFonts w:hint="eastAsia" w:ascii="仿宋_GB2312" w:hAnsi="仿宋_GB2312" w:eastAsia="仿宋_GB2312" w:cs="仿宋_GB2312"/>
          <w:color w:val="auto"/>
          <w:kern w:val="0"/>
          <w:sz w:val="28"/>
          <w:szCs w:val="28"/>
          <w:highlight w:val="none"/>
        </w:rPr>
        <w:t>日起至202</w:t>
      </w:r>
      <w:r>
        <w:rPr>
          <w:rFonts w:hint="eastAsia" w:ascii="仿宋_GB2312" w:hAnsi="仿宋_GB2312" w:eastAsia="仿宋_GB2312" w:cs="仿宋_GB2312"/>
          <w:color w:val="auto"/>
          <w:kern w:val="0"/>
          <w:sz w:val="28"/>
          <w:szCs w:val="28"/>
          <w:highlight w:val="none"/>
          <w:lang w:val="en-US" w:eastAsia="zh-CN"/>
        </w:rPr>
        <w:t>3</w:t>
      </w:r>
      <w:r>
        <w:rPr>
          <w:rFonts w:hint="eastAsia" w:ascii="仿宋_GB2312" w:hAnsi="仿宋_GB2312" w:eastAsia="仿宋_GB2312" w:cs="仿宋_GB2312"/>
          <w:color w:val="auto"/>
          <w:kern w:val="0"/>
          <w:sz w:val="28"/>
          <w:szCs w:val="28"/>
          <w:highlight w:val="none"/>
        </w:rPr>
        <w:t>年</w:t>
      </w:r>
      <w:r>
        <w:rPr>
          <w:rFonts w:hint="eastAsia" w:ascii="仿宋_GB2312" w:hAnsi="仿宋_GB2312" w:eastAsia="仿宋_GB2312" w:cs="仿宋_GB2312"/>
          <w:color w:val="auto"/>
          <w:kern w:val="0"/>
          <w:sz w:val="28"/>
          <w:szCs w:val="28"/>
          <w:highlight w:val="none"/>
          <w:lang w:val="en-US" w:eastAsia="zh-CN"/>
        </w:rPr>
        <w:t>12</w:t>
      </w:r>
      <w:r>
        <w:rPr>
          <w:rFonts w:hint="eastAsia" w:ascii="仿宋_GB2312" w:hAnsi="仿宋_GB2312" w:eastAsia="仿宋_GB2312" w:cs="仿宋_GB2312"/>
          <w:color w:val="auto"/>
          <w:kern w:val="0"/>
          <w:sz w:val="28"/>
          <w:szCs w:val="28"/>
          <w:highlight w:val="none"/>
        </w:rPr>
        <w:t>月</w:t>
      </w:r>
      <w:r>
        <w:rPr>
          <w:rFonts w:hint="eastAsia" w:ascii="仿宋_GB2312" w:hAnsi="仿宋_GB2312" w:eastAsia="仿宋_GB2312" w:cs="仿宋_GB2312"/>
          <w:color w:val="auto"/>
          <w:kern w:val="0"/>
          <w:sz w:val="28"/>
          <w:szCs w:val="28"/>
          <w:highlight w:val="none"/>
          <w:lang w:val="en-US" w:eastAsia="zh-CN"/>
        </w:rPr>
        <w:t>21</w:t>
      </w:r>
      <w:r>
        <w:rPr>
          <w:rFonts w:hint="eastAsia" w:ascii="仿宋_GB2312" w:hAnsi="仿宋_GB2312" w:eastAsia="仿宋_GB2312" w:cs="仿宋_GB2312"/>
          <w:color w:val="auto"/>
          <w:kern w:val="0"/>
          <w:sz w:val="28"/>
          <w:szCs w:val="28"/>
          <w:highlight w:val="none"/>
        </w:rPr>
        <w:t>日。如有异议，请于公示期内以书面形式实名向科研院反映。</w:t>
      </w:r>
    </w:p>
    <w:p>
      <w:pPr>
        <w:widowControl/>
        <w:spacing w:line="500" w:lineRule="exact"/>
        <w:ind w:firstLine="560" w:firstLineChars="200"/>
        <w:jc w:val="left"/>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联系人：</w:t>
      </w:r>
      <w:r>
        <w:rPr>
          <w:rFonts w:hint="eastAsia" w:ascii="仿宋_GB2312" w:hAnsi="仿宋_GB2312" w:eastAsia="仿宋_GB2312" w:cs="仿宋_GB2312"/>
          <w:color w:val="auto"/>
          <w:kern w:val="0"/>
          <w:sz w:val="28"/>
          <w:szCs w:val="28"/>
          <w:highlight w:val="none"/>
          <w:lang w:val="en-US" w:eastAsia="zh-CN"/>
        </w:rPr>
        <w:t>钱</w:t>
      </w:r>
      <w:r>
        <w:rPr>
          <w:rFonts w:hint="eastAsia" w:ascii="仿宋_GB2312" w:hAnsi="仿宋_GB2312" w:eastAsia="仿宋_GB2312" w:cs="仿宋_GB2312"/>
          <w:color w:val="auto"/>
          <w:kern w:val="0"/>
          <w:sz w:val="28"/>
          <w:szCs w:val="28"/>
          <w:highlight w:val="none"/>
        </w:rPr>
        <w:t>老师、阮老师，联系电话：2208258。</w:t>
      </w:r>
    </w:p>
    <w:p>
      <w:pPr>
        <w:widowControl/>
        <w:spacing w:line="500" w:lineRule="exact"/>
        <w:ind w:firstLine="560" w:firstLineChars="200"/>
        <w:jc w:val="left"/>
        <w:rPr>
          <w:rFonts w:ascii="仿宋_GB2312" w:hAnsi="仿宋_GB2312" w:eastAsia="仿宋_GB2312" w:cs="仿宋_GB2312"/>
          <w:color w:val="auto"/>
          <w:kern w:val="0"/>
          <w:sz w:val="28"/>
          <w:szCs w:val="28"/>
          <w:highlight w:val="none"/>
        </w:rPr>
      </w:pPr>
    </w:p>
    <w:p>
      <w:pPr>
        <w:widowControl/>
        <w:shd w:val="clear" w:color="auto" w:fill="FFFFFF"/>
        <w:spacing w:line="500" w:lineRule="exact"/>
        <w:ind w:firstLine="645"/>
        <w:jc w:val="center"/>
        <w:rPr>
          <w:rFonts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 xml:space="preserve">                             科研院技术转移管理办公室</w:t>
      </w:r>
    </w:p>
    <w:p>
      <w:pPr>
        <w:widowControl/>
        <w:shd w:val="clear" w:color="auto" w:fill="FFFFFF"/>
        <w:spacing w:line="500" w:lineRule="exact"/>
        <w:jc w:val="center"/>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202</w:t>
      </w:r>
      <w:r>
        <w:rPr>
          <w:rFonts w:hint="eastAsia" w:ascii="仿宋_GB2312" w:hAnsi="仿宋_GB2312" w:eastAsia="仿宋_GB2312" w:cs="仿宋_GB2312"/>
          <w:color w:val="auto"/>
          <w:kern w:val="0"/>
          <w:sz w:val="28"/>
          <w:szCs w:val="28"/>
          <w:highlight w:val="none"/>
          <w:lang w:val="en-US" w:eastAsia="zh-CN"/>
        </w:rPr>
        <w:t>3</w:t>
      </w:r>
      <w:r>
        <w:rPr>
          <w:rFonts w:hint="eastAsia" w:ascii="仿宋_GB2312" w:hAnsi="仿宋_GB2312" w:eastAsia="仿宋_GB2312" w:cs="仿宋_GB2312"/>
          <w:color w:val="auto"/>
          <w:kern w:val="0"/>
          <w:sz w:val="28"/>
          <w:szCs w:val="28"/>
          <w:highlight w:val="none"/>
        </w:rPr>
        <w:t>年</w:t>
      </w:r>
      <w:r>
        <w:rPr>
          <w:rFonts w:hint="eastAsia" w:ascii="仿宋_GB2312" w:hAnsi="仿宋_GB2312" w:eastAsia="仿宋_GB2312" w:cs="仿宋_GB2312"/>
          <w:color w:val="auto"/>
          <w:kern w:val="0"/>
          <w:sz w:val="28"/>
          <w:szCs w:val="28"/>
          <w:highlight w:val="none"/>
          <w:lang w:val="en-US" w:eastAsia="zh-CN"/>
        </w:rPr>
        <w:t>12</w:t>
      </w:r>
      <w:r>
        <w:rPr>
          <w:rFonts w:hint="eastAsia" w:ascii="仿宋_GB2312" w:hAnsi="仿宋_GB2312" w:eastAsia="仿宋_GB2312" w:cs="仿宋_GB2312"/>
          <w:color w:val="auto"/>
          <w:kern w:val="0"/>
          <w:sz w:val="28"/>
          <w:szCs w:val="28"/>
          <w:highlight w:val="none"/>
        </w:rPr>
        <w:t>月</w:t>
      </w:r>
      <w:r>
        <w:rPr>
          <w:rFonts w:hint="eastAsia" w:ascii="仿宋_GB2312" w:hAnsi="仿宋_GB2312" w:eastAsia="仿宋_GB2312" w:cs="仿宋_GB2312"/>
          <w:color w:val="auto"/>
          <w:kern w:val="0"/>
          <w:sz w:val="28"/>
          <w:szCs w:val="28"/>
          <w:highlight w:val="none"/>
          <w:lang w:val="en-US" w:eastAsia="zh-CN"/>
        </w:rPr>
        <w:t>1</w:t>
      </w:r>
      <w:bookmarkStart w:id="0" w:name="_GoBack"/>
      <w:bookmarkEnd w:id="0"/>
      <w:r>
        <w:rPr>
          <w:rFonts w:hint="eastAsia" w:ascii="仿宋_GB2312" w:hAnsi="仿宋_GB2312" w:eastAsia="仿宋_GB2312" w:cs="仿宋_GB2312"/>
          <w:color w:val="auto"/>
          <w:kern w:val="0"/>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mMzdkNjdjODkyMDc3ZmY4NWMyMDNkYjQ1OTJkOTAifQ=="/>
  </w:docVars>
  <w:rsids>
    <w:rsidRoot w:val="00F14854"/>
    <w:rsid w:val="001060E5"/>
    <w:rsid w:val="0024167E"/>
    <w:rsid w:val="003808A1"/>
    <w:rsid w:val="003F10A6"/>
    <w:rsid w:val="00433E4E"/>
    <w:rsid w:val="004401AD"/>
    <w:rsid w:val="004540E1"/>
    <w:rsid w:val="00466387"/>
    <w:rsid w:val="004C05D1"/>
    <w:rsid w:val="004D0B9D"/>
    <w:rsid w:val="00577793"/>
    <w:rsid w:val="005B5A8D"/>
    <w:rsid w:val="00654919"/>
    <w:rsid w:val="00686547"/>
    <w:rsid w:val="00701B80"/>
    <w:rsid w:val="007234E3"/>
    <w:rsid w:val="007B4E33"/>
    <w:rsid w:val="007D3F9E"/>
    <w:rsid w:val="008A075C"/>
    <w:rsid w:val="008B71B7"/>
    <w:rsid w:val="008B77BC"/>
    <w:rsid w:val="008D16EE"/>
    <w:rsid w:val="00971998"/>
    <w:rsid w:val="009763B8"/>
    <w:rsid w:val="00AB7062"/>
    <w:rsid w:val="00B122CE"/>
    <w:rsid w:val="00C01C85"/>
    <w:rsid w:val="00C60A07"/>
    <w:rsid w:val="00C8526D"/>
    <w:rsid w:val="00D87709"/>
    <w:rsid w:val="00E46B0A"/>
    <w:rsid w:val="00E5727E"/>
    <w:rsid w:val="00EA5A14"/>
    <w:rsid w:val="00EB12CC"/>
    <w:rsid w:val="00F14854"/>
    <w:rsid w:val="00FB6701"/>
    <w:rsid w:val="00FF7A26"/>
    <w:rsid w:val="02FF7204"/>
    <w:rsid w:val="06911A77"/>
    <w:rsid w:val="0EEB066B"/>
    <w:rsid w:val="111D1A8B"/>
    <w:rsid w:val="12E70039"/>
    <w:rsid w:val="133157C3"/>
    <w:rsid w:val="14185910"/>
    <w:rsid w:val="17184BBB"/>
    <w:rsid w:val="17D0300D"/>
    <w:rsid w:val="19B124F2"/>
    <w:rsid w:val="1F0411A5"/>
    <w:rsid w:val="1FF26BAE"/>
    <w:rsid w:val="261C7FBB"/>
    <w:rsid w:val="272002AC"/>
    <w:rsid w:val="279B4181"/>
    <w:rsid w:val="279E2FEB"/>
    <w:rsid w:val="2CC941AC"/>
    <w:rsid w:val="2F7F016B"/>
    <w:rsid w:val="33C35D7D"/>
    <w:rsid w:val="3A0E646D"/>
    <w:rsid w:val="3EC979EF"/>
    <w:rsid w:val="403B269B"/>
    <w:rsid w:val="44042E4E"/>
    <w:rsid w:val="44F543D6"/>
    <w:rsid w:val="473749EE"/>
    <w:rsid w:val="475D5CDA"/>
    <w:rsid w:val="4C1E6B8F"/>
    <w:rsid w:val="591025BC"/>
    <w:rsid w:val="5EAF57FA"/>
    <w:rsid w:val="5F26553E"/>
    <w:rsid w:val="61D93FBA"/>
    <w:rsid w:val="63DF5F2E"/>
    <w:rsid w:val="64EE4A49"/>
    <w:rsid w:val="66456C97"/>
    <w:rsid w:val="66DB787B"/>
    <w:rsid w:val="67DD629C"/>
    <w:rsid w:val="6DBD2193"/>
    <w:rsid w:val="6E302343"/>
    <w:rsid w:val="712479EF"/>
    <w:rsid w:val="73F5476E"/>
    <w:rsid w:val="767D2FBC"/>
    <w:rsid w:val="778475CC"/>
    <w:rsid w:val="77EA0465"/>
    <w:rsid w:val="7B9118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bCs/>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character" w:customStyle="1" w:styleId="13">
    <w:name w:val="批注框文本 Char"/>
    <w:basedOn w:val="9"/>
    <w:link w:val="3"/>
    <w:semiHidden/>
    <w:qFormat/>
    <w:uiPriority w:val="99"/>
    <w:rPr>
      <w:sz w:val="18"/>
      <w:szCs w:val="18"/>
    </w:rPr>
  </w:style>
  <w:style w:type="character" w:customStyle="1" w:styleId="14">
    <w:name w:val="font51"/>
    <w:basedOn w:val="9"/>
    <w:qFormat/>
    <w:uiPriority w:val="0"/>
    <w:rPr>
      <w:rFonts w:hint="eastAsia" w:ascii="宋体" w:hAnsi="宋体" w:eastAsia="宋体" w:cs="宋体"/>
      <w:color w:val="000000"/>
      <w:sz w:val="20"/>
      <w:szCs w:val="20"/>
      <w:u w:val="none"/>
    </w:rPr>
  </w:style>
  <w:style w:type="character" w:customStyle="1" w:styleId="15">
    <w:name w:val="font61"/>
    <w:basedOn w:val="9"/>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625</Words>
  <Characters>731</Characters>
  <Lines>12</Lines>
  <Paragraphs>3</Paragraphs>
  <TotalTime>0</TotalTime>
  <ScaleCrop>false</ScaleCrop>
  <LinksUpToDate>false</LinksUpToDate>
  <CharactersWithSpaces>797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2020-01-07T01:22:00Z</dcterms:created>
  <dc:creator>3100001</dc:creator>
  <cp:lastModifiedBy>Agnes</cp:lastModifiedBy>
  <cp:lastPrinted>2020-01-07T08:44:00Z</cp:lastPrinted>
  <dcterms:modified xsi:type="dcterms:W3CDTF">2023-12-01T09:25:19Z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A1404C8AB4374BF4ABDC5888235F71CC_13</vt:lpwstr>
  </property>
</Properties>
</file>