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center"/>
        <w:rPr>
          <w:rFonts w:ascii="Times New Roman" w:hAnsi="Times New Roman" w:cs="Times New Roman"/>
          <w:kern w:val="0"/>
          <w:sz w:val="44"/>
          <w:szCs w:val="44"/>
          <w:highlight w:val="none"/>
        </w:rPr>
      </w:pPr>
      <w:r>
        <w:rPr>
          <w:rFonts w:ascii="Times New Roman" w:hAnsi="Times New Roman" w:cs="Times New Roman"/>
          <w:kern w:val="0"/>
          <w:sz w:val="44"/>
          <w:szCs w:val="44"/>
          <w:highlight w:val="none"/>
        </w:rPr>
        <w:t>关于“李龙科研团队”成果转化项目现金奖励信息公示</w:t>
      </w:r>
    </w:p>
    <w:p>
      <w:pPr>
        <w:widowControl/>
        <w:spacing w:line="500" w:lineRule="exact"/>
        <w:ind w:firstLine="560" w:firstLineChars="200"/>
        <w:jc w:val="center"/>
        <w:rPr>
          <w:rFonts w:ascii="Times New Roman" w:hAnsi="Times New Roman" w:cs="Times New Roman"/>
          <w:kern w:val="0"/>
          <w:sz w:val="28"/>
          <w:szCs w:val="28"/>
          <w:highlight w:val="none"/>
        </w:rPr>
      </w:pPr>
    </w:p>
    <w:p>
      <w:pPr>
        <w:keepLines/>
        <w:spacing w:line="440" w:lineRule="exact"/>
        <w:ind w:firstLine="562" w:firstLineChars="200"/>
        <w:jc w:val="center"/>
        <w:rPr>
          <w:rFonts w:ascii="仿宋" w:hAnsi="仿宋" w:eastAsia="仿宋" w:cs="仿宋"/>
          <w:b/>
          <w:bCs/>
          <w:color w:val="000000"/>
          <w:kern w:val="0"/>
          <w:sz w:val="28"/>
          <w:szCs w:val="28"/>
          <w:highlight w:val="none"/>
        </w:rPr>
      </w:pPr>
      <w:r>
        <w:rPr>
          <w:rFonts w:hint="eastAsia" w:ascii="仿宋" w:hAnsi="仿宋" w:eastAsia="仿宋" w:cs="仿宋"/>
          <w:b/>
          <w:bCs/>
          <w:color w:val="000000"/>
          <w:kern w:val="0"/>
          <w:sz w:val="28"/>
          <w:szCs w:val="28"/>
          <w:highlight w:val="none"/>
        </w:rPr>
        <w:t>成奖</w:t>
      </w:r>
      <w:r>
        <w:rPr>
          <w:rFonts w:hint="eastAsia" w:ascii="仿宋" w:hAnsi="仿宋" w:eastAsia="仿宋" w:cs="仿宋"/>
          <w:b/>
          <w:bCs/>
          <w:color w:val="000000"/>
          <w:kern w:val="0"/>
          <w:sz w:val="28"/>
          <w:szCs w:val="28"/>
          <w:highlight w:val="none"/>
          <w:lang w:val="en-US" w:eastAsia="zh-CN"/>
        </w:rPr>
        <w:t>专</w:t>
      </w:r>
      <w:r>
        <w:rPr>
          <w:rFonts w:hint="eastAsia" w:ascii="仿宋" w:hAnsi="仿宋" w:eastAsia="仿宋" w:cs="仿宋"/>
          <w:b/>
          <w:bCs/>
          <w:color w:val="000000"/>
          <w:kern w:val="0"/>
          <w:sz w:val="28"/>
          <w:szCs w:val="28"/>
          <w:highlight w:val="none"/>
        </w:rPr>
        <w:t>〔2023〕</w:t>
      </w:r>
      <w:r>
        <w:rPr>
          <w:rFonts w:hint="eastAsia" w:ascii="仿宋" w:hAnsi="仿宋" w:eastAsia="仿宋" w:cs="仿宋"/>
          <w:b/>
          <w:bCs/>
          <w:color w:val="000000"/>
          <w:kern w:val="0"/>
          <w:sz w:val="28"/>
          <w:szCs w:val="28"/>
          <w:highlight w:val="none"/>
          <w:lang w:val="en-US" w:eastAsia="zh-CN"/>
        </w:rPr>
        <w:t>23</w:t>
      </w:r>
      <w:r>
        <w:rPr>
          <w:rFonts w:hint="eastAsia" w:ascii="仿宋" w:hAnsi="仿宋" w:eastAsia="仿宋" w:cs="仿宋"/>
          <w:b/>
          <w:bCs/>
          <w:color w:val="000000"/>
          <w:kern w:val="0"/>
          <w:sz w:val="28"/>
          <w:szCs w:val="28"/>
          <w:highlight w:val="none"/>
        </w:rPr>
        <w:t>号</w:t>
      </w:r>
    </w:p>
    <w:p>
      <w:pPr>
        <w:keepLines/>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根据《关于科技人员取得职务科技成果转化现金奖励信息公示办法的通知》（国科发政〔2018〕103号）和《桂林电子科技大学科技成果转化现金收益奖励办法（试行）》（桂电科〔2020〕18号）的规定文件要求，现对我校李龙科研团队的职务科技成果转化现金奖励相关信息公示如下:</w:t>
      </w:r>
    </w:p>
    <w:p>
      <w:pPr>
        <w:keepLines/>
        <w:shd w:val="clear" w:color="auto" w:fill="FFFFFF"/>
        <w:spacing w:line="500" w:lineRule="exact"/>
        <w:ind w:firstLine="645"/>
        <w:jc w:val="left"/>
        <w:outlineLvl w:val="0"/>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一、</w:t>
      </w:r>
      <w:r>
        <w:rPr>
          <w:rFonts w:ascii="Times New Roman" w:hAnsi="Times New Roman" w:cs="Times New Roman"/>
          <w:b/>
          <w:bCs/>
          <w:kern w:val="0"/>
          <w:sz w:val="28"/>
          <w:szCs w:val="28"/>
          <w:highlight w:val="none"/>
        </w:rPr>
        <w:t>科技成果转化简介</w:t>
      </w:r>
    </w:p>
    <w:p>
      <w:pPr>
        <w:keepLines/>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(一) 成果名称</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7"/>
        <w:gridCol w:w="3236"/>
        <w:gridCol w:w="2019"/>
        <w:gridCol w:w="2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tcPr>
          <w:p>
            <w:pPr>
              <w:keepLines/>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序号</w:t>
            </w:r>
          </w:p>
        </w:tc>
        <w:tc>
          <w:tcPr>
            <w:tcW w:w="3236" w:type="dxa"/>
          </w:tcPr>
          <w:p>
            <w:pPr>
              <w:keepLines/>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专利名称</w:t>
            </w:r>
          </w:p>
        </w:tc>
        <w:tc>
          <w:tcPr>
            <w:tcW w:w="2019" w:type="dxa"/>
          </w:tcPr>
          <w:p>
            <w:pPr>
              <w:keepLines/>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专利号</w:t>
            </w:r>
          </w:p>
        </w:tc>
        <w:tc>
          <w:tcPr>
            <w:tcW w:w="2440" w:type="dxa"/>
          </w:tcPr>
          <w:p>
            <w:pPr>
              <w:keepLines/>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发明人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一种基于ADD支持读写功能的密文策略属性基加密方法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ZL202011132274.8</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李龙;方颖;李晶晶;古天龙;常亮;李笠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2</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一种针对Shamir秘密共享的用户权重分配方法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ZL201811355938.X</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李龙;古天龙;常亮;李晶晶;李捷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3</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基于可逆逻辑的8421BCD码同步十进制加／减法计数器</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ZL201510445731.1</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李龙;古天龙;常亮;徐周波;孟瑜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4</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一种基于余弦度量规则的知识图谱表示学习方法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ZL201810058745.1</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常亮;饶官军;古天龙;罗义琴;祝曼丽;徐周波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5</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一种基于多种语义的知识图谱表示学习方法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ZL201611189576.2</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常亮;栗永芳;祝曼丽;古天龙;徐周波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6</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一种面向问答领域动态计算问句与答案相似性的方法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ZL201811177400.4</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常亮;张楚婷;宾辰忠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7</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基于动态描述逻辑和模型检测的语义Web服务验证方法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ZL201510034291.0</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常亮;王耀光;徐周波;孟瑜;古天龙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8</w:t>
            </w:r>
          </w:p>
        </w:tc>
        <w:tc>
          <w:tcPr>
            <w:tcW w:w="3236"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一种基于Attention深度学习模型的学生辍课预测方法</w:t>
            </w:r>
          </w:p>
        </w:tc>
        <w:tc>
          <w:tcPr>
            <w:tcW w:w="2019"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ZL202010133647.7</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常亮;张艳;刘铁园;古天龙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9</w:t>
            </w:r>
          </w:p>
        </w:tc>
        <w:tc>
          <w:tcPr>
            <w:tcW w:w="3236" w:type="dxa"/>
            <w:vAlign w:val="center"/>
          </w:tcPr>
          <w:p>
            <w:pPr>
              <w:widowControl/>
              <w:snapToGrid w:val="0"/>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0"/>
                <w:szCs w:val="20"/>
                <w:highlight w:val="none"/>
                <w:lang w:bidi="ar"/>
              </w:rPr>
              <w:t>一种实时获得数据的数据自动录入方法及系统</w:t>
            </w:r>
          </w:p>
        </w:tc>
        <w:tc>
          <w:tcPr>
            <w:tcW w:w="2019" w:type="dxa"/>
            <w:vAlign w:val="center"/>
          </w:tcPr>
          <w:p>
            <w:pPr>
              <w:widowControl/>
              <w:snapToGrid w:val="0"/>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0"/>
                <w:szCs w:val="20"/>
                <w:highlight w:val="none"/>
                <w:lang w:bidi="ar"/>
              </w:rPr>
              <w:t>ZL201910114555.1</w:t>
            </w:r>
          </w:p>
        </w:tc>
        <w:tc>
          <w:tcPr>
            <w:tcW w:w="2440" w:type="dxa"/>
            <w:vAlign w:val="center"/>
          </w:tcPr>
          <w:p>
            <w:pPr>
              <w:widowControl/>
              <w:jc w:val="left"/>
              <w:textAlignment w:val="center"/>
              <w:rPr>
                <w:rFonts w:ascii="Times New Roman" w:hAnsi="Times New Roman" w:cs="Times New Roman"/>
                <w:kern w:val="0"/>
                <w:sz w:val="22"/>
                <w:highlight w:val="none"/>
                <w:lang w:bidi="ar"/>
              </w:rPr>
            </w:pPr>
            <w:r>
              <w:rPr>
                <w:rFonts w:ascii="Times New Roman" w:hAnsi="Times New Roman" w:cs="Times New Roman"/>
                <w:kern w:val="0"/>
                <w:sz w:val="22"/>
                <w:highlight w:val="none"/>
                <w:lang w:bidi="ar"/>
              </w:rPr>
              <w:t>王勇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10</w:t>
            </w:r>
          </w:p>
        </w:tc>
        <w:tc>
          <w:tcPr>
            <w:tcW w:w="3236" w:type="dxa"/>
            <w:vAlign w:val="center"/>
          </w:tcPr>
          <w:p>
            <w:pPr>
              <w:widowControl/>
              <w:snapToGrid w:val="0"/>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一种基于动态描述逻辑的角色访问控制方法</w:t>
            </w:r>
          </w:p>
        </w:tc>
        <w:tc>
          <w:tcPr>
            <w:tcW w:w="2019" w:type="dxa"/>
            <w:vAlign w:val="center"/>
          </w:tcPr>
          <w:p>
            <w:pPr>
              <w:widowControl/>
              <w:snapToGrid w:val="0"/>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ZL201110414109.6</w:t>
            </w:r>
          </w:p>
        </w:tc>
        <w:tc>
          <w:tcPr>
            <w:tcW w:w="2440" w:type="dxa"/>
            <w:vAlign w:val="center"/>
          </w:tcPr>
          <w:p>
            <w:pPr>
              <w:widowControl/>
              <w:snapToGrid w:val="0"/>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常亮;章启城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11</w:t>
            </w:r>
          </w:p>
        </w:tc>
        <w:tc>
          <w:tcPr>
            <w:tcW w:w="3236"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基于自适应权重的多源信息融合知识图谱表示学习方法</w:t>
            </w:r>
          </w:p>
        </w:tc>
        <w:tc>
          <w:tcPr>
            <w:tcW w:w="2019"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ZL201810563786.6</w:t>
            </w:r>
          </w:p>
        </w:tc>
        <w:tc>
          <w:tcPr>
            <w:tcW w:w="2440"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常亮;张舜尧;匡海丽;王文凯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12</w:t>
            </w:r>
          </w:p>
        </w:tc>
        <w:tc>
          <w:tcPr>
            <w:tcW w:w="3236"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一种网络入侵检测方法</w:t>
            </w:r>
          </w:p>
        </w:tc>
        <w:tc>
          <w:tcPr>
            <w:tcW w:w="2019"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ZL201810510359.1</w:t>
            </w:r>
          </w:p>
        </w:tc>
        <w:tc>
          <w:tcPr>
            <w:tcW w:w="2440"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常亮;张少伟;古天龙;徐周波;李龙;陈汉宜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13</w:t>
            </w:r>
          </w:p>
        </w:tc>
        <w:tc>
          <w:tcPr>
            <w:tcW w:w="3236"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基于本体的子装配体识别方法</w:t>
            </w:r>
          </w:p>
        </w:tc>
        <w:tc>
          <w:tcPr>
            <w:tcW w:w="2019"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ZL201610543989.X</w:t>
            </w:r>
          </w:p>
        </w:tc>
        <w:tc>
          <w:tcPr>
            <w:tcW w:w="2440"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常亮;暴雨欣;古天龙;袁文兵;闵丰;徐周波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7" w:type="dxa"/>
            <w:vAlign w:val="center"/>
          </w:tcPr>
          <w:p>
            <w:pPr>
              <w:keepLines/>
              <w:spacing w:line="500" w:lineRule="exact"/>
              <w:jc w:val="center"/>
              <w:rPr>
                <w:rFonts w:ascii="Times New Roman" w:hAnsi="Times New Roman" w:cs="Times New Roman"/>
                <w:kern w:val="0"/>
                <w:sz w:val="20"/>
                <w:szCs w:val="20"/>
                <w:highlight w:val="none"/>
              </w:rPr>
            </w:pPr>
            <w:r>
              <w:rPr>
                <w:rFonts w:ascii="Times New Roman" w:hAnsi="Times New Roman" w:cs="Times New Roman"/>
                <w:kern w:val="0"/>
                <w:sz w:val="20"/>
                <w:szCs w:val="20"/>
                <w:highlight w:val="none"/>
              </w:rPr>
              <w:t>14</w:t>
            </w:r>
          </w:p>
        </w:tc>
        <w:tc>
          <w:tcPr>
            <w:tcW w:w="3236"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一种面向问答领域含有人名的问句相似度计算方法</w:t>
            </w:r>
          </w:p>
        </w:tc>
        <w:tc>
          <w:tcPr>
            <w:tcW w:w="2019"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ZL201810433143.X</w:t>
            </w:r>
          </w:p>
        </w:tc>
        <w:tc>
          <w:tcPr>
            <w:tcW w:w="2440" w:type="dxa"/>
            <w:vAlign w:val="center"/>
          </w:tcPr>
          <w:p>
            <w:pPr>
              <w:widowControl/>
              <w:jc w:val="left"/>
              <w:textAlignment w:val="center"/>
              <w:rPr>
                <w:rFonts w:ascii="Times New Roman" w:hAnsi="Times New Roman" w:cs="Times New Roman"/>
                <w:kern w:val="0"/>
                <w:sz w:val="20"/>
                <w:szCs w:val="20"/>
                <w:highlight w:val="none"/>
              </w:rPr>
            </w:pPr>
            <w:r>
              <w:rPr>
                <w:rFonts w:ascii="Times New Roman" w:hAnsi="Times New Roman" w:cs="Times New Roman"/>
                <w:kern w:val="0"/>
                <w:sz w:val="22"/>
                <w:highlight w:val="none"/>
                <w:lang w:bidi="ar"/>
              </w:rPr>
              <w:t>常亮;时雨;宾辰忠;古天龙;孙彦鹏;孙磊;匡海丽</w:t>
            </w:r>
          </w:p>
        </w:tc>
      </w:tr>
    </w:tbl>
    <w:p>
      <w:pPr>
        <w:keepLines/>
        <w:spacing w:line="500" w:lineRule="exact"/>
        <w:ind w:firstLine="560" w:firstLineChars="200"/>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（二）转化方式：专利实施许可</w:t>
      </w:r>
    </w:p>
    <w:p>
      <w:pPr>
        <w:keepLines/>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（三）转化收入：人民币4.8万圆整（￥48000元）</w:t>
      </w:r>
    </w:p>
    <w:p>
      <w:pPr>
        <w:keepLines/>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（四）取得时间：2023年11月9日</w:t>
      </w:r>
    </w:p>
    <w:p>
      <w:pPr>
        <w:keepLines/>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（五）扣除成本：0元</w:t>
      </w:r>
    </w:p>
    <w:p>
      <w:pPr>
        <w:spacing w:line="500" w:lineRule="exact"/>
        <w:ind w:firstLine="562" w:firstLineChars="200"/>
        <w:jc w:val="left"/>
        <w:outlineLvl w:val="0"/>
        <w:rPr>
          <w:rFonts w:ascii="Times New Roman" w:hAnsi="Times New Roman" w:cs="Times New Roman"/>
          <w:kern w:val="0"/>
          <w:sz w:val="28"/>
          <w:szCs w:val="28"/>
          <w:highlight w:val="none"/>
        </w:rPr>
      </w:pPr>
      <w:r>
        <w:rPr>
          <w:rFonts w:ascii="Times New Roman" w:hAnsi="Times New Roman" w:cs="Times New Roman"/>
          <w:b/>
          <w:kern w:val="0"/>
          <w:sz w:val="28"/>
          <w:szCs w:val="28"/>
          <w:highlight w:val="none"/>
        </w:rPr>
        <w:t>二、现金奖励信息</w:t>
      </w:r>
    </w:p>
    <w:p>
      <w:pPr>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拟将净收益99% (47520元)分配给研发团队主要成果完成人，提留净收益99% (47520元)作为后续科研经费。拟发放现金奖励金额合计零圆整（￥0元）。</w:t>
      </w:r>
    </w:p>
    <w:p>
      <w:pPr>
        <w:widowControl/>
        <w:spacing w:line="560" w:lineRule="exact"/>
        <w:ind w:firstLine="562" w:firstLineChars="200"/>
        <w:jc w:val="left"/>
        <w:outlineLvl w:val="0"/>
        <w:rPr>
          <w:rFonts w:ascii="Times New Roman" w:hAnsi="Times New Roman" w:cs="Times New Roman"/>
          <w:b/>
          <w:kern w:val="0"/>
          <w:sz w:val="28"/>
          <w:szCs w:val="28"/>
          <w:highlight w:val="none"/>
        </w:rPr>
      </w:pPr>
      <w:r>
        <w:rPr>
          <w:rFonts w:ascii="Times New Roman" w:hAnsi="Times New Roman" w:cs="Times New Roman"/>
          <w:b/>
          <w:kern w:val="0"/>
          <w:sz w:val="28"/>
          <w:szCs w:val="28"/>
          <w:highlight w:val="none"/>
        </w:rPr>
        <w:t>三、现金奖励人员信息</w:t>
      </w:r>
    </w:p>
    <w:tbl>
      <w:tblPr>
        <w:tblStyle w:val="8"/>
        <w:tblW w:w="7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1263"/>
        <w:gridCol w:w="1572"/>
        <w:gridCol w:w="2268"/>
        <w:gridCol w:w="1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51" w:type="dxa"/>
          </w:tcPr>
          <w:p>
            <w:pPr>
              <w:spacing w:line="560" w:lineRule="exact"/>
              <w:jc w:val="center"/>
              <w:rPr>
                <w:rFonts w:ascii="Times New Roman" w:hAnsi="Times New Roman" w:cs="Times New Roman"/>
                <w:b/>
                <w:bCs/>
                <w:kern w:val="0"/>
                <w:sz w:val="28"/>
                <w:szCs w:val="28"/>
                <w:highlight w:val="none"/>
              </w:rPr>
            </w:pPr>
            <w:r>
              <w:rPr>
                <w:rFonts w:ascii="Times New Roman" w:hAnsi="Times New Roman" w:cs="Times New Roman"/>
                <w:kern w:val="0"/>
                <w:sz w:val="28"/>
                <w:szCs w:val="28"/>
                <w:highlight w:val="none"/>
              </w:rPr>
              <w:t> </w:t>
            </w:r>
            <w:r>
              <w:rPr>
                <w:rFonts w:ascii="Times New Roman" w:hAnsi="Times New Roman" w:cs="Times New Roman"/>
                <w:b/>
                <w:bCs/>
                <w:kern w:val="0"/>
                <w:sz w:val="28"/>
                <w:szCs w:val="28"/>
                <w:highlight w:val="none"/>
              </w:rPr>
              <w:t>序号</w:t>
            </w:r>
          </w:p>
        </w:tc>
        <w:tc>
          <w:tcPr>
            <w:tcW w:w="1263" w:type="dxa"/>
          </w:tcPr>
          <w:p>
            <w:pPr>
              <w:spacing w:line="560" w:lineRule="exact"/>
              <w:jc w:val="cente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姓名</w:t>
            </w:r>
          </w:p>
        </w:tc>
        <w:tc>
          <w:tcPr>
            <w:tcW w:w="1572" w:type="dxa"/>
          </w:tcPr>
          <w:p>
            <w:pPr>
              <w:spacing w:line="560" w:lineRule="exact"/>
              <w:jc w:val="cente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岗位职务</w:t>
            </w:r>
          </w:p>
        </w:tc>
        <w:tc>
          <w:tcPr>
            <w:tcW w:w="2268" w:type="dxa"/>
          </w:tcPr>
          <w:p>
            <w:pPr>
              <w:spacing w:line="560" w:lineRule="exact"/>
              <w:jc w:val="cente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贡献情况</w:t>
            </w:r>
          </w:p>
        </w:tc>
        <w:tc>
          <w:tcPr>
            <w:tcW w:w="1799" w:type="dxa"/>
          </w:tcPr>
          <w:p>
            <w:pPr>
              <w:spacing w:line="560" w:lineRule="exact"/>
              <w:jc w:val="cente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分配金额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51" w:type="dxa"/>
            <w:vAlign w:val="center"/>
          </w:tcPr>
          <w:p>
            <w:pPr>
              <w:spacing w:line="560" w:lineRule="exact"/>
              <w:jc w:val="center"/>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1</w:t>
            </w:r>
          </w:p>
        </w:tc>
        <w:tc>
          <w:tcPr>
            <w:tcW w:w="1263" w:type="dxa"/>
            <w:vAlign w:val="center"/>
          </w:tcPr>
          <w:p>
            <w:pPr>
              <w:spacing w:line="560" w:lineRule="exact"/>
              <w:jc w:val="center"/>
              <w:rPr>
                <w:rFonts w:ascii="Times New Roman" w:hAnsi="Times New Roman" w:cs="Times New Roman"/>
                <w:kern w:val="0"/>
                <w:sz w:val="24"/>
                <w:szCs w:val="24"/>
                <w:highlight w:val="none"/>
              </w:rPr>
            </w:pPr>
            <w:r>
              <w:rPr>
                <w:rFonts w:hint="eastAsia" w:ascii="Times New Roman" w:hAnsi="Times New Roman" w:cs="Times New Roman"/>
                <w:kern w:val="0"/>
                <w:sz w:val="24"/>
                <w:szCs w:val="24"/>
                <w:highlight w:val="none"/>
              </w:rPr>
              <w:t>无</w:t>
            </w:r>
          </w:p>
        </w:tc>
        <w:tc>
          <w:tcPr>
            <w:tcW w:w="1572" w:type="dxa"/>
            <w:vAlign w:val="center"/>
          </w:tcPr>
          <w:p>
            <w:pPr>
              <w:spacing w:line="560" w:lineRule="exact"/>
              <w:jc w:val="center"/>
              <w:rPr>
                <w:rFonts w:ascii="Times New Roman" w:hAnsi="Times New Roman" w:cs="Times New Roman"/>
                <w:kern w:val="0"/>
                <w:sz w:val="24"/>
                <w:szCs w:val="24"/>
                <w:highlight w:val="none"/>
              </w:rPr>
            </w:pPr>
          </w:p>
        </w:tc>
        <w:tc>
          <w:tcPr>
            <w:tcW w:w="2268" w:type="dxa"/>
            <w:vAlign w:val="center"/>
          </w:tcPr>
          <w:p>
            <w:pPr>
              <w:spacing w:line="560" w:lineRule="exact"/>
              <w:jc w:val="center"/>
              <w:rPr>
                <w:rFonts w:ascii="Times New Roman" w:hAnsi="Times New Roman" w:cs="Times New Roman"/>
                <w:kern w:val="0"/>
                <w:sz w:val="24"/>
                <w:szCs w:val="24"/>
                <w:highlight w:val="none"/>
              </w:rPr>
            </w:pPr>
          </w:p>
        </w:tc>
        <w:tc>
          <w:tcPr>
            <w:tcW w:w="1799" w:type="dxa"/>
            <w:vAlign w:val="center"/>
          </w:tcPr>
          <w:p>
            <w:pPr>
              <w:spacing w:line="560" w:lineRule="exact"/>
              <w:jc w:val="center"/>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054" w:type="dxa"/>
            <w:gridSpan w:val="4"/>
            <w:vAlign w:val="center"/>
          </w:tcPr>
          <w:p>
            <w:pPr>
              <w:spacing w:line="560" w:lineRule="exact"/>
              <w:jc w:val="center"/>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合计</w:t>
            </w:r>
          </w:p>
        </w:tc>
        <w:tc>
          <w:tcPr>
            <w:tcW w:w="1799" w:type="dxa"/>
            <w:vAlign w:val="center"/>
          </w:tcPr>
          <w:p>
            <w:pPr>
              <w:spacing w:line="560" w:lineRule="exact"/>
              <w:jc w:val="center"/>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7853" w:type="dxa"/>
            <w:gridSpan w:val="5"/>
            <w:vAlign w:val="center"/>
          </w:tcPr>
          <w:p>
            <w:pPr>
              <w:widowControl/>
              <w:spacing w:line="500" w:lineRule="exact"/>
              <w:jc w:val="center"/>
              <w:rPr>
                <w:rFonts w:ascii="Times New Roman" w:hAnsi="Times New Roman" w:cs="Times New Roman"/>
                <w:kern w:val="0"/>
                <w:sz w:val="24"/>
                <w:szCs w:val="24"/>
                <w:highlight w:val="none"/>
              </w:rPr>
            </w:pPr>
            <w:r>
              <w:rPr>
                <w:rFonts w:ascii="Times New Roman" w:hAnsi="Times New Roman" w:cs="Times New Roman"/>
                <w:bCs/>
                <w:kern w:val="0"/>
                <w:sz w:val="28"/>
                <w:szCs w:val="28"/>
                <w:highlight w:val="none"/>
              </w:rPr>
              <w:t>涉及的其他发明人现金奖励为0元。</w:t>
            </w:r>
          </w:p>
        </w:tc>
      </w:tr>
    </w:tbl>
    <w:p>
      <w:pPr>
        <w:widowControl/>
        <w:spacing w:line="500" w:lineRule="exact"/>
        <w:ind w:firstLine="562" w:firstLineChars="200"/>
        <w:jc w:val="left"/>
        <w:rPr>
          <w:rFonts w:hint="default" w:ascii="Times New Roman" w:hAnsi="Times New Roman" w:cs="Times New Roman" w:eastAsiaTheme="minorEastAsia"/>
          <w:kern w:val="0"/>
          <w:sz w:val="28"/>
          <w:szCs w:val="28"/>
          <w:highlight w:val="none"/>
          <w:lang w:val="en-US" w:eastAsia="zh-CN"/>
        </w:rPr>
      </w:pPr>
      <w:r>
        <w:rPr>
          <w:rFonts w:ascii="Times New Roman" w:hAnsi="Times New Roman" w:cs="Times New Roman"/>
          <w:b/>
          <w:kern w:val="0"/>
          <w:sz w:val="28"/>
          <w:szCs w:val="28"/>
          <w:highlight w:val="none"/>
        </w:rPr>
        <w:t>四、现金拟发放时间</w:t>
      </w:r>
      <w:r>
        <w:rPr>
          <w:rFonts w:ascii="Times New Roman" w:hAnsi="Times New Roman" w:cs="Times New Roman"/>
          <w:kern w:val="0"/>
          <w:sz w:val="28"/>
          <w:szCs w:val="28"/>
          <w:highlight w:val="none"/>
        </w:rPr>
        <w:t>：</w:t>
      </w:r>
      <w:r>
        <w:rPr>
          <w:rFonts w:hint="eastAsia" w:ascii="Times New Roman" w:hAnsi="Times New Roman" w:cs="Times New Roman"/>
          <w:kern w:val="0"/>
          <w:sz w:val="28"/>
          <w:szCs w:val="28"/>
          <w:highlight w:val="none"/>
          <w:lang w:val="en-US" w:eastAsia="zh-CN"/>
        </w:rPr>
        <w:t>2023年12月</w:t>
      </w:r>
    </w:p>
    <w:p>
      <w:pPr>
        <w:widowControl/>
        <w:spacing w:line="500" w:lineRule="exact"/>
        <w:ind w:firstLine="562" w:firstLineChars="200"/>
        <w:jc w:val="left"/>
        <w:rPr>
          <w:rFonts w:ascii="Times New Roman" w:hAnsi="Times New Roman" w:cs="Times New Roman"/>
          <w:b/>
          <w:kern w:val="0"/>
          <w:sz w:val="28"/>
          <w:szCs w:val="28"/>
          <w:highlight w:val="none"/>
        </w:rPr>
      </w:pPr>
      <w:r>
        <w:rPr>
          <w:rFonts w:ascii="Times New Roman" w:hAnsi="Times New Roman" w:cs="Times New Roman"/>
          <w:b/>
          <w:kern w:val="0"/>
          <w:sz w:val="28"/>
          <w:szCs w:val="28"/>
          <w:highlight w:val="none"/>
        </w:rPr>
        <w:t>五、技术合同登记信息</w:t>
      </w:r>
    </w:p>
    <w:p>
      <w:pPr>
        <w:widowControl/>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技术合同登记机构：桂林市生产力促进中心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911"/>
        <w:gridCol w:w="2256"/>
        <w:gridCol w:w="2000"/>
        <w:gridCol w:w="1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vAlign w:val="center"/>
          </w:tcPr>
          <w:p>
            <w:pPr>
              <w:widowControl/>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序号</w:t>
            </w:r>
          </w:p>
        </w:tc>
        <w:tc>
          <w:tcPr>
            <w:tcW w:w="1911" w:type="dxa"/>
            <w:vAlign w:val="center"/>
          </w:tcPr>
          <w:p>
            <w:pPr>
              <w:widowControl/>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合同登记号</w:t>
            </w:r>
          </w:p>
        </w:tc>
        <w:tc>
          <w:tcPr>
            <w:tcW w:w="2256" w:type="dxa"/>
            <w:vAlign w:val="center"/>
          </w:tcPr>
          <w:p>
            <w:pPr>
              <w:widowControl/>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合同名称</w:t>
            </w:r>
          </w:p>
        </w:tc>
        <w:tc>
          <w:tcPr>
            <w:tcW w:w="2000" w:type="dxa"/>
            <w:vAlign w:val="center"/>
          </w:tcPr>
          <w:p>
            <w:pPr>
              <w:widowControl/>
              <w:spacing w:line="50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买方名称</w:t>
            </w:r>
          </w:p>
        </w:tc>
        <w:tc>
          <w:tcPr>
            <w:tcW w:w="1267" w:type="dxa"/>
            <w:vAlign w:val="center"/>
          </w:tcPr>
          <w:p>
            <w:pPr>
              <w:widowControl/>
              <w:spacing w:line="440" w:lineRule="exact"/>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技术交易额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pPr>
              <w:widowControl/>
              <w:spacing w:line="500" w:lineRule="exact"/>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1</w:t>
            </w:r>
          </w:p>
        </w:tc>
        <w:tc>
          <w:tcPr>
            <w:tcW w:w="1911" w:type="dxa"/>
          </w:tcPr>
          <w:p>
            <w:pPr>
              <w:keepLines/>
              <w:spacing w:line="500" w:lineRule="exact"/>
              <w:jc w:val="center"/>
              <w:rPr>
                <w:rFonts w:ascii="Times New Roman" w:hAnsi="Times New Roman" w:cs="Times New Roman"/>
                <w:kern w:val="0"/>
                <w:szCs w:val="21"/>
                <w:highlight w:val="none"/>
              </w:rPr>
            </w:pPr>
            <w:r>
              <w:rPr>
                <w:rFonts w:ascii="Times New Roman" w:hAnsi="Times New Roman" w:cs="Times New Roman"/>
                <w:kern w:val="0"/>
                <w:szCs w:val="21"/>
                <w:highlight w:val="none"/>
              </w:rPr>
              <w:t>2023450004000484</w:t>
            </w:r>
          </w:p>
        </w:tc>
        <w:tc>
          <w:tcPr>
            <w:tcW w:w="2256" w:type="dxa"/>
          </w:tcPr>
          <w:p>
            <w:pPr>
              <w:keepLines/>
              <w:snapToGrid w:val="0"/>
              <w:spacing w:line="440" w:lineRule="exact"/>
              <w:jc w:val="center"/>
              <w:rPr>
                <w:rFonts w:ascii="Times New Roman" w:hAnsi="Times New Roman" w:cs="Times New Roman"/>
                <w:kern w:val="0"/>
                <w:szCs w:val="21"/>
                <w:highlight w:val="none"/>
              </w:rPr>
            </w:pPr>
            <w:r>
              <w:rPr>
                <w:rFonts w:ascii="Times New Roman" w:hAnsi="Times New Roman" w:cs="Times New Roman"/>
                <w:kern w:val="0"/>
                <w:szCs w:val="21"/>
                <w:highlight w:val="none"/>
              </w:rPr>
              <w:t>一种面向问答领域动态计算问句与答案相似性的方法等9项专利许可</w:t>
            </w:r>
          </w:p>
        </w:tc>
        <w:tc>
          <w:tcPr>
            <w:tcW w:w="2000" w:type="dxa"/>
          </w:tcPr>
          <w:p>
            <w:pPr>
              <w:widowControl/>
              <w:snapToGrid w:val="0"/>
              <w:spacing w:line="44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广西信铠智泉科技有限公司</w:t>
            </w:r>
          </w:p>
        </w:tc>
        <w:tc>
          <w:tcPr>
            <w:tcW w:w="1267" w:type="dxa"/>
          </w:tcPr>
          <w:p>
            <w:pPr>
              <w:widowControl/>
              <w:spacing w:line="50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27000元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0" w:type="dxa"/>
          </w:tcPr>
          <w:p>
            <w:pPr>
              <w:widowControl/>
              <w:spacing w:line="500" w:lineRule="exact"/>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2</w:t>
            </w:r>
          </w:p>
        </w:tc>
        <w:tc>
          <w:tcPr>
            <w:tcW w:w="1911" w:type="dxa"/>
          </w:tcPr>
          <w:p>
            <w:pPr>
              <w:widowControl/>
              <w:spacing w:line="50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2023450004000514</w:t>
            </w:r>
          </w:p>
        </w:tc>
        <w:tc>
          <w:tcPr>
            <w:tcW w:w="2256" w:type="dxa"/>
          </w:tcPr>
          <w:p>
            <w:pPr>
              <w:widowControl/>
              <w:snapToGrid w:val="0"/>
              <w:spacing w:line="44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一种基于动态描述逻辑的角色访问控制方法系列7项专利许可</w:t>
            </w:r>
          </w:p>
        </w:tc>
        <w:tc>
          <w:tcPr>
            <w:tcW w:w="2000" w:type="dxa"/>
          </w:tcPr>
          <w:p>
            <w:pPr>
              <w:widowControl/>
              <w:snapToGrid w:val="0"/>
              <w:spacing w:line="44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桂林碧琪信息科技有限公司</w:t>
            </w:r>
          </w:p>
        </w:tc>
        <w:tc>
          <w:tcPr>
            <w:tcW w:w="1267" w:type="dxa"/>
          </w:tcPr>
          <w:p>
            <w:pPr>
              <w:widowControl/>
              <w:spacing w:line="500" w:lineRule="exact"/>
              <w:jc w:val="left"/>
              <w:rPr>
                <w:rFonts w:ascii="Times New Roman" w:hAnsi="Times New Roman" w:cs="Times New Roman"/>
                <w:kern w:val="0"/>
                <w:szCs w:val="21"/>
                <w:highlight w:val="none"/>
              </w:rPr>
            </w:pPr>
            <w:r>
              <w:rPr>
                <w:rFonts w:ascii="Times New Roman" w:hAnsi="Times New Roman" w:cs="Times New Roman"/>
                <w:kern w:val="0"/>
                <w:szCs w:val="21"/>
                <w:highlight w:val="none"/>
              </w:rPr>
              <w:t>21000元</w:t>
            </w:r>
          </w:p>
        </w:tc>
      </w:tr>
    </w:tbl>
    <w:p>
      <w:pPr>
        <w:widowControl/>
        <w:spacing w:line="500" w:lineRule="exact"/>
        <w:jc w:val="left"/>
        <w:rPr>
          <w:rFonts w:ascii="Times New Roman" w:hAnsi="Times New Roman" w:cs="Times New Roman"/>
          <w:kern w:val="0"/>
          <w:sz w:val="28"/>
          <w:szCs w:val="28"/>
          <w:highlight w:val="none"/>
        </w:rPr>
      </w:pPr>
    </w:p>
    <w:p>
      <w:pPr>
        <w:widowControl/>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以上成果转化奖励资金来源于成果转化收益所得。特此公示，公示期15个工作日，自2023年</w:t>
      </w:r>
      <w:r>
        <w:rPr>
          <w:rFonts w:hint="eastAsia" w:ascii="Times New Roman" w:hAnsi="Times New Roman" w:cs="Times New Roman"/>
          <w:kern w:val="0"/>
          <w:sz w:val="28"/>
          <w:szCs w:val="28"/>
          <w:highlight w:val="none"/>
          <w:lang w:val="en-US" w:eastAsia="zh-CN"/>
        </w:rPr>
        <w:t>12</w:t>
      </w:r>
      <w:r>
        <w:rPr>
          <w:rFonts w:ascii="Times New Roman" w:hAnsi="Times New Roman" w:cs="Times New Roman"/>
          <w:kern w:val="0"/>
          <w:sz w:val="28"/>
          <w:szCs w:val="28"/>
          <w:highlight w:val="none"/>
        </w:rPr>
        <w:t>月</w:t>
      </w:r>
      <w:r>
        <w:rPr>
          <w:rFonts w:hint="eastAsia" w:ascii="Times New Roman" w:hAnsi="Times New Roman" w:cs="Times New Roman"/>
          <w:kern w:val="0"/>
          <w:sz w:val="28"/>
          <w:szCs w:val="28"/>
          <w:highlight w:val="none"/>
          <w:lang w:val="en-US" w:eastAsia="zh-CN"/>
        </w:rPr>
        <w:t>1</w:t>
      </w:r>
      <w:r>
        <w:rPr>
          <w:rFonts w:ascii="Times New Roman" w:hAnsi="Times New Roman" w:cs="Times New Roman"/>
          <w:kern w:val="0"/>
          <w:sz w:val="28"/>
          <w:szCs w:val="28"/>
          <w:highlight w:val="none"/>
        </w:rPr>
        <w:t>日起至2023年</w:t>
      </w:r>
      <w:r>
        <w:rPr>
          <w:rFonts w:hint="eastAsia" w:ascii="Times New Roman" w:hAnsi="Times New Roman" w:cs="Times New Roman"/>
          <w:kern w:val="0"/>
          <w:sz w:val="28"/>
          <w:szCs w:val="28"/>
          <w:highlight w:val="none"/>
          <w:lang w:val="en-US" w:eastAsia="zh-CN"/>
        </w:rPr>
        <w:t>12</w:t>
      </w:r>
      <w:r>
        <w:rPr>
          <w:rFonts w:ascii="Times New Roman" w:hAnsi="Times New Roman" w:cs="Times New Roman"/>
          <w:kern w:val="0"/>
          <w:sz w:val="28"/>
          <w:szCs w:val="28"/>
          <w:highlight w:val="none"/>
        </w:rPr>
        <w:t>月</w:t>
      </w:r>
      <w:r>
        <w:rPr>
          <w:rFonts w:hint="eastAsia" w:ascii="Times New Roman" w:hAnsi="Times New Roman" w:cs="Times New Roman"/>
          <w:kern w:val="0"/>
          <w:sz w:val="28"/>
          <w:szCs w:val="28"/>
          <w:highlight w:val="none"/>
          <w:lang w:val="en-US" w:eastAsia="zh-CN"/>
        </w:rPr>
        <w:t>21</w:t>
      </w:r>
      <w:r>
        <w:rPr>
          <w:rFonts w:ascii="Times New Roman" w:hAnsi="Times New Roman" w:cs="Times New Roman"/>
          <w:kern w:val="0"/>
          <w:sz w:val="28"/>
          <w:szCs w:val="28"/>
          <w:highlight w:val="none"/>
        </w:rPr>
        <w:t>日。如有异议，请于公示期内以书面形式实名向科研院反映。</w:t>
      </w:r>
    </w:p>
    <w:p>
      <w:pPr>
        <w:widowControl/>
        <w:spacing w:line="500" w:lineRule="exact"/>
        <w:ind w:firstLine="560" w:firstLineChars="200"/>
        <w:jc w:val="left"/>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联系人：</w:t>
      </w:r>
      <w:r>
        <w:rPr>
          <w:rFonts w:hint="eastAsia" w:ascii="Times New Roman" w:hAnsi="Times New Roman" w:cs="Times New Roman"/>
          <w:kern w:val="0"/>
          <w:sz w:val="28"/>
          <w:szCs w:val="28"/>
          <w:highlight w:val="none"/>
          <w:lang w:val="en-US" w:eastAsia="zh-CN"/>
        </w:rPr>
        <w:t>钱</w:t>
      </w:r>
      <w:r>
        <w:rPr>
          <w:rFonts w:ascii="Times New Roman" w:hAnsi="Times New Roman" w:cs="Times New Roman"/>
          <w:kern w:val="0"/>
          <w:sz w:val="28"/>
          <w:szCs w:val="28"/>
          <w:highlight w:val="none"/>
        </w:rPr>
        <w:t>老师、阮老师，联系电话：2208258。</w:t>
      </w:r>
    </w:p>
    <w:p>
      <w:pPr>
        <w:widowControl/>
        <w:spacing w:line="500" w:lineRule="exact"/>
        <w:ind w:firstLine="560" w:firstLineChars="200"/>
        <w:jc w:val="left"/>
        <w:rPr>
          <w:rFonts w:ascii="Times New Roman" w:hAnsi="Times New Roman" w:cs="Times New Roman"/>
          <w:kern w:val="0"/>
          <w:sz w:val="28"/>
          <w:szCs w:val="28"/>
          <w:highlight w:val="none"/>
        </w:rPr>
      </w:pPr>
    </w:p>
    <w:p>
      <w:pPr>
        <w:widowControl/>
        <w:shd w:val="clear" w:color="auto" w:fill="FFFFFF"/>
        <w:spacing w:line="500" w:lineRule="exact"/>
        <w:ind w:firstLine="645"/>
        <w:jc w:val="center"/>
        <w:rPr>
          <w:rFonts w:ascii="Times New Roman" w:hAnsi="Times New Roman" w:cs="Times New Roman"/>
          <w:kern w:val="0"/>
          <w:sz w:val="28"/>
          <w:szCs w:val="28"/>
          <w:highlight w:val="none"/>
        </w:rPr>
      </w:pPr>
      <w:r>
        <w:rPr>
          <w:rFonts w:ascii="Times New Roman" w:hAnsi="Times New Roman" w:cs="Times New Roman"/>
          <w:kern w:val="0"/>
          <w:sz w:val="28"/>
          <w:szCs w:val="28"/>
          <w:highlight w:val="none"/>
        </w:rPr>
        <w:t xml:space="preserve">                             科研院技术转移管理办公室</w:t>
      </w:r>
    </w:p>
    <w:p>
      <w:pPr>
        <w:widowControl/>
        <w:shd w:val="clear" w:color="auto" w:fill="FFFFFF"/>
        <w:spacing w:line="500" w:lineRule="exact"/>
        <w:jc w:val="center"/>
        <w:rPr>
          <w:rFonts w:ascii="Times New Roman" w:hAnsi="Times New Roman" w:cs="Times New Roman"/>
          <w:sz w:val="28"/>
          <w:szCs w:val="28"/>
          <w:highlight w:val="none"/>
        </w:rPr>
      </w:pPr>
      <w:r>
        <w:rPr>
          <w:rFonts w:hint="eastAsia" w:ascii="Times New Roman" w:hAnsi="Times New Roman" w:cs="Times New Roman"/>
          <w:kern w:val="0"/>
          <w:sz w:val="28"/>
          <w:szCs w:val="28"/>
          <w:highlight w:val="none"/>
          <w:lang w:val="en-US" w:eastAsia="zh-CN"/>
        </w:rPr>
        <w:t xml:space="preserve">                                   </w:t>
      </w:r>
      <w:r>
        <w:rPr>
          <w:rFonts w:ascii="Times New Roman" w:hAnsi="Times New Roman" w:cs="Times New Roman"/>
          <w:kern w:val="0"/>
          <w:sz w:val="28"/>
          <w:szCs w:val="28"/>
          <w:highlight w:val="none"/>
        </w:rPr>
        <w:t>2023年</w:t>
      </w:r>
      <w:r>
        <w:rPr>
          <w:rFonts w:hint="eastAsia" w:ascii="Times New Roman" w:hAnsi="Times New Roman" w:cs="Times New Roman"/>
          <w:kern w:val="0"/>
          <w:sz w:val="28"/>
          <w:szCs w:val="28"/>
          <w:highlight w:val="none"/>
          <w:lang w:val="en-US" w:eastAsia="zh-CN"/>
        </w:rPr>
        <w:t>12</w:t>
      </w:r>
      <w:r>
        <w:rPr>
          <w:rFonts w:ascii="Times New Roman" w:hAnsi="Times New Roman" w:cs="Times New Roman"/>
          <w:kern w:val="0"/>
          <w:sz w:val="28"/>
          <w:szCs w:val="28"/>
          <w:highlight w:val="none"/>
        </w:rPr>
        <w:t>月</w:t>
      </w:r>
      <w:r>
        <w:rPr>
          <w:rFonts w:hint="eastAsia" w:ascii="Times New Roman" w:hAnsi="Times New Roman" w:cs="Times New Roman"/>
          <w:kern w:val="0"/>
          <w:sz w:val="28"/>
          <w:szCs w:val="28"/>
          <w:highlight w:val="none"/>
          <w:lang w:val="en-US" w:eastAsia="zh-CN"/>
        </w:rPr>
        <w:t>1</w:t>
      </w:r>
      <w:bookmarkStart w:id="0" w:name="_GoBack"/>
      <w:bookmarkEnd w:id="0"/>
      <w:r>
        <w:rPr>
          <w:rFonts w:ascii="Times New Roman" w:hAnsi="Times New Roman" w:cs="Times New Roman"/>
          <w:kern w:val="0"/>
          <w:sz w:val="28"/>
          <w:szCs w:val="28"/>
          <w:highlight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mMzdkNjdjODkyMDc3ZmY4NWMyMDNkYjQ1OTJkOTAifQ=="/>
  </w:docVars>
  <w:rsids>
    <w:rsidRoot w:val="00F14854"/>
    <w:rsid w:val="001060E5"/>
    <w:rsid w:val="00223FA0"/>
    <w:rsid w:val="0024167E"/>
    <w:rsid w:val="003808A1"/>
    <w:rsid w:val="003F10A6"/>
    <w:rsid w:val="00433E4E"/>
    <w:rsid w:val="004401AD"/>
    <w:rsid w:val="004540E1"/>
    <w:rsid w:val="00466387"/>
    <w:rsid w:val="004C05D1"/>
    <w:rsid w:val="004D0B9D"/>
    <w:rsid w:val="005770C1"/>
    <w:rsid w:val="00577793"/>
    <w:rsid w:val="005A579E"/>
    <w:rsid w:val="005B5A8D"/>
    <w:rsid w:val="00654919"/>
    <w:rsid w:val="00686547"/>
    <w:rsid w:val="006A5128"/>
    <w:rsid w:val="00701B80"/>
    <w:rsid w:val="007234E3"/>
    <w:rsid w:val="007B4E33"/>
    <w:rsid w:val="007D3F9E"/>
    <w:rsid w:val="007D43FF"/>
    <w:rsid w:val="008A075C"/>
    <w:rsid w:val="008B71B7"/>
    <w:rsid w:val="008B77BC"/>
    <w:rsid w:val="008D16EE"/>
    <w:rsid w:val="008E64A4"/>
    <w:rsid w:val="00971998"/>
    <w:rsid w:val="009763B8"/>
    <w:rsid w:val="00A70D92"/>
    <w:rsid w:val="00AB7062"/>
    <w:rsid w:val="00B122CE"/>
    <w:rsid w:val="00C01C85"/>
    <w:rsid w:val="00C60A07"/>
    <w:rsid w:val="00C8526D"/>
    <w:rsid w:val="00D87709"/>
    <w:rsid w:val="00E46B0A"/>
    <w:rsid w:val="00E5727E"/>
    <w:rsid w:val="00EA5A14"/>
    <w:rsid w:val="00EB12CC"/>
    <w:rsid w:val="00F04436"/>
    <w:rsid w:val="00F14854"/>
    <w:rsid w:val="00FB6701"/>
    <w:rsid w:val="00FF7A26"/>
    <w:rsid w:val="01B464A4"/>
    <w:rsid w:val="02FF7204"/>
    <w:rsid w:val="0365214C"/>
    <w:rsid w:val="06911A77"/>
    <w:rsid w:val="07D43E33"/>
    <w:rsid w:val="0993739A"/>
    <w:rsid w:val="0EEB066B"/>
    <w:rsid w:val="12E70039"/>
    <w:rsid w:val="133157C3"/>
    <w:rsid w:val="16111028"/>
    <w:rsid w:val="17184BBB"/>
    <w:rsid w:val="17D0300D"/>
    <w:rsid w:val="19B124F2"/>
    <w:rsid w:val="1D6221E6"/>
    <w:rsid w:val="1F363A02"/>
    <w:rsid w:val="1FF26BAE"/>
    <w:rsid w:val="26F54223"/>
    <w:rsid w:val="279B4181"/>
    <w:rsid w:val="279E2FEB"/>
    <w:rsid w:val="2BD229E7"/>
    <w:rsid w:val="2F7F016B"/>
    <w:rsid w:val="33C35D7D"/>
    <w:rsid w:val="3A0E646D"/>
    <w:rsid w:val="3D1D21CA"/>
    <w:rsid w:val="408442C5"/>
    <w:rsid w:val="44F543D6"/>
    <w:rsid w:val="46A52C6F"/>
    <w:rsid w:val="475D5CDA"/>
    <w:rsid w:val="56E83D9B"/>
    <w:rsid w:val="591025BC"/>
    <w:rsid w:val="5F26553E"/>
    <w:rsid w:val="66DB787B"/>
    <w:rsid w:val="67DD629C"/>
    <w:rsid w:val="6C1449AA"/>
    <w:rsid w:val="6DBD2193"/>
    <w:rsid w:val="712479EF"/>
    <w:rsid w:val="73F5476E"/>
    <w:rsid w:val="767D2FBC"/>
    <w:rsid w:val="77383B2B"/>
    <w:rsid w:val="778475CC"/>
    <w:rsid w:val="77EA0465"/>
    <w:rsid w:val="7B9118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unhideWhenUsed/>
    <w:qFormat/>
    <w:uiPriority w:val="99"/>
  </w:style>
  <w:style w:type="paragraph" w:styleId="3">
    <w:name w:val="Document Map"/>
    <w:basedOn w:val="1"/>
    <w:link w:val="15"/>
    <w:semiHidden/>
    <w:unhideWhenUsed/>
    <w:qFormat/>
    <w:uiPriority w:val="99"/>
    <w:rPr>
      <w:rFonts w:ascii="宋体" w:eastAsia="宋体"/>
      <w:sz w:val="18"/>
      <w:szCs w:val="18"/>
    </w:r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批注框文本 字符"/>
    <w:basedOn w:val="10"/>
    <w:link w:val="4"/>
    <w:semiHidden/>
    <w:qFormat/>
    <w:uiPriority w:val="99"/>
    <w:rPr>
      <w:sz w:val="18"/>
      <w:szCs w:val="18"/>
    </w:rPr>
  </w:style>
  <w:style w:type="character" w:customStyle="1" w:styleId="15">
    <w:name w:val="文档结构图 字符"/>
    <w:basedOn w:val="10"/>
    <w:link w:val="3"/>
    <w:semiHidden/>
    <w:qFormat/>
    <w:uiPriority w:val="99"/>
    <w:rPr>
      <w:rFonts w:ascii="宋体" w:hAnsiTheme="minorHAnsi" w:cstheme="minorBidi"/>
      <w:kern w:val="2"/>
      <w:sz w:val="18"/>
      <w:szCs w:val="18"/>
    </w:rPr>
  </w:style>
  <w:style w:type="character" w:customStyle="1" w:styleId="16">
    <w:name w:val="font51"/>
    <w:basedOn w:val="10"/>
    <w:qFormat/>
    <w:uiPriority w:val="0"/>
    <w:rPr>
      <w:rFonts w:hint="default" w:ascii="等线" w:hAnsi="等线" w:eastAsia="等线" w:cs="等线"/>
      <w:color w:val="000000"/>
      <w:sz w:val="20"/>
      <w:szCs w:val="20"/>
      <w:u w:val="none"/>
    </w:rPr>
  </w:style>
  <w:style w:type="character" w:customStyle="1" w:styleId="17">
    <w:name w:val="font61"/>
    <w:basedOn w:val="10"/>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Pages>
  <Words>246</Words>
  <Characters>1403</Characters>
  <Lines>11</Lines>
  <Paragraphs>3</Paragraphs>
  <TotalTime>1</TotalTime>
  <ScaleCrop>false</ScaleCrop>
  <LinksUpToDate>false</LinksUpToDate>
  <CharactersWithSpaces>1646</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2020-01-07T01:22:00Z</dcterms:created>
  <dc:creator>3100001</dc:creator>
  <cp:lastModifiedBy>Agnes</cp:lastModifiedBy>
  <cp:lastPrinted>2020-01-07T08:44:00Z</cp:lastPrinted>
  <dcterms:modified xsi:type="dcterms:W3CDTF">2023-12-01T09:16:51Z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5378E3E1D55146579100ABDE53863610_13</vt:lpwstr>
  </property>
</Properties>
</file>