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sz w:val="20"/>
        </w:rPr>
      </w:pPr>
    </w:p>
    <w:p>
      <w:pPr>
        <w:pStyle w:val="3"/>
        <w:rPr>
          <w:rFonts w:ascii="Times New Roman"/>
          <w:color w:val="0000FF"/>
          <w:sz w:val="20"/>
        </w:rPr>
      </w:pPr>
    </w:p>
    <w:p>
      <w:pPr>
        <w:autoSpaceDE/>
        <w:autoSpaceDN/>
        <w:spacing w:line="600" w:lineRule="exact"/>
        <w:jc w:val="center"/>
        <w:rPr>
          <w:rFonts w:ascii="黑体" w:eastAsia="黑体"/>
          <w:sz w:val="52"/>
          <w:lang w:val="en-US"/>
        </w:rPr>
      </w:pPr>
      <w:r>
        <w:rPr>
          <w:rFonts w:hint="eastAsia" w:ascii="黑体" w:eastAsia="黑体"/>
          <w:sz w:val="52"/>
        </w:rPr>
        <w:t>桂林电子科技大学</w:t>
      </w:r>
      <w:r>
        <w:rPr>
          <w:rFonts w:hint="eastAsia" w:ascii="黑体" w:eastAsia="黑体"/>
          <w:sz w:val="52"/>
          <w:lang w:val="en-US"/>
        </w:rPr>
        <w:t>2022年部门预算及“三公”经费预算公开</w:t>
      </w:r>
    </w:p>
    <w:p>
      <w:pPr>
        <w:rPr>
          <w:rFonts w:ascii="微软雅黑" w:eastAsia="微软雅黑"/>
          <w:b/>
          <w:sz w:val="44"/>
        </w:rPr>
      </w:pPr>
      <w:r>
        <w:rPr>
          <w:rFonts w:hint="eastAsia" w:ascii="微软雅黑" w:eastAsia="微软雅黑"/>
          <w:b/>
          <w:sz w:val="44"/>
        </w:rPr>
        <w:br w:type="page"/>
      </w:r>
    </w:p>
    <w:p>
      <w:pPr>
        <w:tabs>
          <w:tab w:val="left" w:pos="1830"/>
        </w:tabs>
        <w:spacing w:before="116"/>
        <w:ind w:left="507"/>
        <w:jc w:val="center"/>
        <w:rPr>
          <w:rFonts w:ascii="微软雅黑" w:eastAsia="微软雅黑"/>
          <w:b/>
          <w:sz w:val="44"/>
        </w:rPr>
      </w:pPr>
      <w:r>
        <w:rPr>
          <w:rFonts w:hint="eastAsia" w:ascii="微软雅黑" w:eastAsia="微软雅黑"/>
          <w:b/>
          <w:sz w:val="44"/>
        </w:rPr>
        <w:t>目</w:t>
      </w:r>
      <w:r>
        <w:rPr>
          <w:rFonts w:hint="eastAsia" w:ascii="微软雅黑" w:eastAsia="微软雅黑"/>
          <w:b/>
          <w:sz w:val="44"/>
          <w:lang w:val="en-US"/>
        </w:rPr>
        <w:t xml:space="preserve">   </w:t>
      </w:r>
      <w:r>
        <w:rPr>
          <w:rFonts w:hint="eastAsia" w:ascii="微软雅黑" w:eastAsia="微软雅黑"/>
          <w:b/>
          <w:sz w:val="44"/>
        </w:rPr>
        <w:t>录</w:t>
      </w:r>
    </w:p>
    <w:p>
      <w:pPr>
        <w:pStyle w:val="3"/>
        <w:rPr>
          <w:rFonts w:ascii="微软雅黑"/>
          <w:b/>
          <w:sz w:val="20"/>
        </w:rPr>
      </w:pPr>
    </w:p>
    <w:p>
      <w:pPr>
        <w:pStyle w:val="2"/>
        <w:spacing w:before="55" w:line="480" w:lineRule="auto"/>
        <w:ind w:left="0"/>
        <w:rPr>
          <w:b/>
          <w:bCs/>
        </w:rPr>
      </w:pPr>
      <w:r>
        <w:rPr>
          <w:b/>
          <w:bCs/>
        </w:rPr>
        <w:t>第一部分：</w:t>
      </w:r>
      <w:r>
        <w:rPr>
          <w:rFonts w:hint="eastAsia"/>
          <w:b/>
          <w:bCs/>
          <w:lang w:val="en-US"/>
        </w:rPr>
        <w:t>桂林电子科技大学</w:t>
      </w:r>
      <w:r>
        <w:rPr>
          <w:b/>
          <w:bCs/>
        </w:rPr>
        <w:t>概况</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rPr>
        <w:t>一、</w:t>
      </w:r>
      <w:r>
        <w:rPr>
          <w:rFonts w:hint="eastAsia" w:ascii="仿宋" w:hAnsi="仿宋" w:eastAsia="仿宋" w:cs="仿宋"/>
          <w:b/>
          <w:bCs/>
          <w:sz w:val="32"/>
          <w:szCs w:val="32"/>
          <w:lang w:val="en-US"/>
        </w:rPr>
        <w:t>主要职能</w:t>
      </w:r>
    </w:p>
    <w:p>
      <w:pPr>
        <w:spacing w:line="480" w:lineRule="auto"/>
        <w:rPr>
          <w:rFonts w:ascii="仿宋" w:hAnsi="仿宋" w:eastAsia="仿宋" w:cs="仿宋"/>
          <w:sz w:val="32"/>
          <w:szCs w:val="32"/>
          <w:lang w:val="en-US"/>
        </w:rPr>
      </w:pPr>
      <w:r>
        <w:rPr>
          <w:rFonts w:hint="eastAsia" w:ascii="仿宋" w:hAnsi="仿宋" w:eastAsia="仿宋" w:cs="仿宋"/>
          <w:b/>
          <w:bCs/>
          <w:sz w:val="32"/>
          <w:szCs w:val="32"/>
        </w:rPr>
        <w:t>二、</w:t>
      </w:r>
      <w:r>
        <w:rPr>
          <w:rFonts w:hint="eastAsia" w:ascii="仿宋" w:hAnsi="仿宋" w:eastAsia="仿宋" w:cs="仿宋"/>
          <w:b/>
          <w:bCs/>
          <w:sz w:val="32"/>
          <w:szCs w:val="32"/>
          <w:lang w:val="en-US"/>
        </w:rPr>
        <w:t>机构设置情况</w:t>
      </w:r>
    </w:p>
    <w:p>
      <w:pPr>
        <w:pStyle w:val="2"/>
        <w:spacing w:before="55" w:line="480" w:lineRule="auto"/>
        <w:ind w:left="0"/>
        <w:rPr>
          <w:b/>
          <w:bCs/>
        </w:rPr>
      </w:pPr>
      <w:r>
        <w:rPr>
          <w:rFonts w:hint="eastAsia"/>
          <w:b/>
          <w:bCs/>
        </w:rPr>
        <w:t>第</w:t>
      </w:r>
      <w:r>
        <w:rPr>
          <w:rFonts w:hint="eastAsia"/>
          <w:b/>
          <w:bCs/>
          <w:lang w:val="en-US"/>
        </w:rPr>
        <w:t>二</w:t>
      </w:r>
      <w:r>
        <w:rPr>
          <w:rFonts w:hint="eastAsia"/>
          <w:b/>
          <w:bCs/>
        </w:rPr>
        <w:t>部分：</w:t>
      </w:r>
      <w:r>
        <w:rPr>
          <w:rFonts w:hint="eastAsia"/>
          <w:b/>
          <w:bCs/>
          <w:lang w:val="en-US"/>
        </w:rPr>
        <w:t>桂林电子科技大学2022</w:t>
      </w:r>
      <w:r>
        <w:rPr>
          <w:rFonts w:hint="eastAsia"/>
          <w:b/>
          <w:bCs/>
        </w:rPr>
        <w:t>年部门</w:t>
      </w:r>
      <w:r>
        <w:rPr>
          <w:rFonts w:hint="eastAsia"/>
          <w:b/>
          <w:bCs/>
          <w:lang w:val="en-US"/>
        </w:rPr>
        <w:t>预算</w:t>
      </w:r>
      <w:r>
        <w:rPr>
          <w:rFonts w:hint="eastAsia"/>
          <w:b/>
          <w:bCs/>
        </w:rPr>
        <w:t>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一、部门收支预算</w:t>
      </w:r>
      <w:r>
        <w:rPr>
          <w:rFonts w:hint="eastAsia" w:ascii="仿宋" w:hAnsi="仿宋" w:eastAsia="仿宋" w:cs="仿宋"/>
          <w:b/>
          <w:bCs/>
          <w:sz w:val="32"/>
          <w:szCs w:val="32"/>
        </w:rPr>
        <w:t>总体情况</w:t>
      </w:r>
      <w:r>
        <w:rPr>
          <w:rFonts w:hint="eastAsia" w:ascii="仿宋" w:hAnsi="仿宋" w:eastAsia="仿宋" w:cs="仿宋"/>
          <w:b/>
          <w:bCs/>
          <w:sz w:val="32"/>
          <w:szCs w:val="32"/>
          <w:lang w:val="en-US"/>
        </w:rPr>
        <w:t>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二、部门收入预算总体情况说明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三、部门支出预算总体情况说明</w:t>
      </w:r>
      <w:bookmarkStart w:id="0" w:name="_GoBack"/>
      <w:bookmarkEnd w:id="0"/>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四、财政拨款收支预算情况说明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五、</w:t>
      </w:r>
      <w:r>
        <w:rPr>
          <w:rFonts w:hint="eastAsia" w:ascii="仿宋" w:hAnsi="仿宋" w:eastAsia="仿宋" w:cs="仿宋"/>
          <w:b/>
          <w:bCs/>
          <w:sz w:val="32"/>
          <w:szCs w:val="32"/>
        </w:rPr>
        <w:t>一般公共预算</w:t>
      </w:r>
      <w:r>
        <w:rPr>
          <w:rFonts w:hint="eastAsia" w:ascii="仿宋" w:hAnsi="仿宋" w:eastAsia="仿宋" w:cs="仿宋"/>
          <w:b/>
          <w:bCs/>
          <w:sz w:val="32"/>
          <w:szCs w:val="32"/>
          <w:lang w:val="en-US"/>
        </w:rPr>
        <w:t>支出</w:t>
      </w:r>
      <w:r>
        <w:rPr>
          <w:rFonts w:hint="eastAsia" w:ascii="仿宋" w:hAnsi="仿宋" w:eastAsia="仿宋" w:cs="仿宋"/>
          <w:b/>
          <w:bCs/>
          <w:sz w:val="32"/>
          <w:szCs w:val="32"/>
        </w:rPr>
        <w:t>情况</w:t>
      </w:r>
      <w:r>
        <w:rPr>
          <w:rFonts w:hint="eastAsia" w:ascii="仿宋" w:hAnsi="仿宋" w:eastAsia="仿宋" w:cs="仿宋"/>
          <w:b/>
          <w:bCs/>
          <w:sz w:val="32"/>
          <w:szCs w:val="32"/>
          <w:lang w:val="en-US"/>
        </w:rPr>
        <w:t>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六、一般公共预算基本支出情况说明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七、</w:t>
      </w:r>
      <w:r>
        <w:rPr>
          <w:rFonts w:hint="eastAsia" w:ascii="仿宋" w:hAnsi="仿宋" w:eastAsia="仿宋" w:cs="仿宋"/>
          <w:b/>
          <w:bCs/>
          <w:sz w:val="32"/>
          <w:szCs w:val="32"/>
        </w:rPr>
        <w:t>一般公共预算“</w:t>
      </w:r>
      <w:r>
        <w:rPr>
          <w:rFonts w:hint="eastAsia" w:ascii="仿宋" w:hAnsi="仿宋" w:eastAsia="仿宋" w:cs="仿宋"/>
          <w:b/>
          <w:bCs/>
          <w:sz w:val="32"/>
          <w:szCs w:val="32"/>
          <w:lang w:val="en-US"/>
        </w:rPr>
        <w:t>三公”经费</w:t>
      </w:r>
      <w:r>
        <w:rPr>
          <w:rFonts w:hint="eastAsia" w:ascii="仿宋" w:hAnsi="仿宋" w:eastAsia="仿宋" w:cs="仿宋"/>
          <w:b/>
          <w:bCs/>
          <w:sz w:val="32"/>
          <w:szCs w:val="32"/>
        </w:rPr>
        <w:t>情况</w:t>
      </w:r>
      <w:r>
        <w:rPr>
          <w:rFonts w:hint="eastAsia" w:ascii="仿宋" w:hAnsi="仿宋" w:eastAsia="仿宋" w:cs="仿宋"/>
          <w:b/>
          <w:bCs/>
          <w:sz w:val="32"/>
          <w:szCs w:val="32"/>
          <w:lang w:val="en-US"/>
        </w:rPr>
        <w:t>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八、</w:t>
      </w:r>
      <w:r>
        <w:rPr>
          <w:rFonts w:hint="eastAsia" w:ascii="仿宋" w:hAnsi="仿宋" w:eastAsia="仿宋" w:cs="仿宋"/>
          <w:b/>
          <w:bCs/>
          <w:sz w:val="32"/>
          <w:szCs w:val="32"/>
        </w:rPr>
        <w:t>政府性基金</w:t>
      </w:r>
      <w:r>
        <w:rPr>
          <w:rFonts w:hint="eastAsia" w:ascii="仿宋" w:hAnsi="仿宋" w:eastAsia="仿宋" w:cs="仿宋"/>
          <w:b/>
          <w:bCs/>
          <w:sz w:val="32"/>
          <w:szCs w:val="32"/>
          <w:lang w:val="en-US"/>
        </w:rPr>
        <w:t>预算情况说明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九、2022年部门预算其他事项说明</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（一）机关运行经费安排情况</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（二）政府采购预算安排情况</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（三）国有资产占用情况</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（四）200万以上项目预算绩效说明</w:t>
      </w:r>
    </w:p>
    <w:p>
      <w:pPr>
        <w:pStyle w:val="2"/>
        <w:spacing w:before="55" w:line="480" w:lineRule="auto"/>
        <w:ind w:left="0"/>
        <w:rPr>
          <w:b/>
          <w:bCs/>
        </w:rPr>
      </w:pPr>
      <w:r>
        <w:rPr>
          <w:rFonts w:hint="eastAsia"/>
          <w:b/>
          <w:bCs/>
        </w:rPr>
        <w:t>第</w:t>
      </w:r>
      <w:r>
        <w:rPr>
          <w:rFonts w:hint="eastAsia"/>
          <w:b/>
          <w:bCs/>
          <w:lang w:val="en-US"/>
        </w:rPr>
        <w:t>三</w:t>
      </w:r>
      <w:r>
        <w:rPr>
          <w:rFonts w:hint="eastAsia"/>
          <w:b/>
          <w:bCs/>
        </w:rPr>
        <w:t>部分：名词解释</w:t>
      </w:r>
    </w:p>
    <w:p>
      <w:pPr>
        <w:pStyle w:val="2"/>
        <w:spacing w:before="55" w:line="480" w:lineRule="auto"/>
        <w:ind w:left="0"/>
        <w:rPr>
          <w:b/>
          <w:bCs/>
        </w:rPr>
      </w:pPr>
      <w:r>
        <w:rPr>
          <w:rFonts w:hint="eastAsia"/>
          <w:b/>
          <w:bCs/>
        </w:rPr>
        <w:t>第</w:t>
      </w:r>
      <w:r>
        <w:rPr>
          <w:rFonts w:hint="eastAsia"/>
          <w:b/>
          <w:bCs/>
          <w:lang w:val="en-US"/>
        </w:rPr>
        <w:t>四</w:t>
      </w:r>
      <w:r>
        <w:rPr>
          <w:rFonts w:hint="eastAsia"/>
          <w:b/>
          <w:bCs/>
        </w:rPr>
        <w:t>部分：</w:t>
      </w:r>
      <w:r>
        <w:rPr>
          <w:rFonts w:hint="eastAsia"/>
          <w:b/>
          <w:bCs/>
          <w:lang w:val="en-US"/>
        </w:rPr>
        <w:t>桂林电子科技大学2022</w:t>
      </w:r>
      <w:r>
        <w:rPr>
          <w:rFonts w:hint="eastAsia"/>
          <w:b/>
          <w:bCs/>
        </w:rPr>
        <w:t>年部门</w:t>
      </w:r>
      <w:r>
        <w:rPr>
          <w:rFonts w:hint="eastAsia"/>
          <w:b/>
          <w:bCs/>
          <w:lang w:val="en-US"/>
        </w:rPr>
        <w:t>预算</w:t>
      </w:r>
      <w:r>
        <w:rPr>
          <w:rFonts w:hint="eastAsia"/>
          <w:b/>
          <w:bCs/>
        </w:rPr>
        <w:t>报表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一、部门收支总体情况表（预算公开01表）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二、部门收入总体情况表（预算公开02表）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三、部门支出总体情况表（预算公开03表）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四、财政拨款收支总体情况表（预算公开04表）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五、一般公共预算支出情况表（预算公开05表）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六、一般公共预算基本支出情况表（预算公开06表）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七、一般公共预算“三公”经费支出情况表（预算公开07表）</w:t>
      </w:r>
    </w:p>
    <w:p>
      <w:pPr>
        <w:spacing w:line="480" w:lineRule="auto"/>
        <w:rPr>
          <w:rFonts w:ascii="仿宋" w:hAnsi="仿宋" w:eastAsia="仿宋" w:cs="仿宋"/>
          <w:b/>
          <w:bCs/>
          <w:sz w:val="32"/>
          <w:szCs w:val="32"/>
          <w:lang w:val="en-US"/>
        </w:rPr>
      </w:pPr>
      <w:r>
        <w:rPr>
          <w:rFonts w:hint="eastAsia" w:ascii="仿宋" w:hAnsi="仿宋" w:eastAsia="仿宋" w:cs="仿宋"/>
          <w:b/>
          <w:bCs/>
          <w:sz w:val="32"/>
          <w:szCs w:val="32"/>
          <w:lang w:val="en-US"/>
        </w:rPr>
        <w:t>八、政府性基金预算支出情况表（预算公开08表）</w:t>
      </w:r>
    </w:p>
    <w:p>
      <w:pPr>
        <w:spacing w:line="480" w:lineRule="auto"/>
        <w:rPr>
          <w:rFonts w:ascii="仿宋" w:hAnsi="仿宋" w:eastAsia="仿宋" w:cs="仿宋"/>
          <w:b/>
          <w:bCs/>
          <w:sz w:val="32"/>
          <w:szCs w:val="32"/>
        </w:rPr>
      </w:pPr>
      <w:r>
        <w:rPr>
          <w:rFonts w:hint="eastAsia" w:ascii="仿宋" w:hAnsi="仿宋" w:eastAsia="仿宋" w:cs="仿宋"/>
          <w:b/>
          <w:bCs/>
          <w:sz w:val="32"/>
          <w:szCs w:val="32"/>
          <w:lang w:val="en-US"/>
        </w:rPr>
        <w:t>九、预算绩效项目年度绩效目标申报表（预算公开09-1至09-15表）</w:t>
      </w:r>
    </w:p>
    <w:p>
      <w:pPr>
        <w:spacing w:line="560" w:lineRule="atLeast"/>
        <w:rPr>
          <w:rFonts w:ascii="仿宋" w:hAnsi="仿宋" w:eastAsia="仿宋" w:cs="仿宋"/>
          <w:sz w:val="32"/>
          <w:szCs w:val="32"/>
        </w:rPr>
      </w:pPr>
    </w:p>
    <w:p>
      <w:pPr>
        <w:pStyle w:val="2"/>
        <w:spacing w:before="40" w:line="560" w:lineRule="atLeast"/>
        <w:ind w:left="510"/>
        <w:jc w:val="center"/>
      </w:pPr>
    </w:p>
    <w:p>
      <w:pPr>
        <w:pStyle w:val="2"/>
        <w:spacing w:before="40" w:line="560" w:lineRule="atLeast"/>
        <w:ind w:left="0"/>
        <w:jc w:val="both"/>
      </w:pPr>
    </w:p>
    <w:p>
      <w:pPr>
        <w:pStyle w:val="2"/>
        <w:spacing w:before="40" w:line="560" w:lineRule="atLeast"/>
        <w:ind w:left="510"/>
        <w:jc w:val="center"/>
      </w:pPr>
      <w:r>
        <w:t>第一部分：</w:t>
      </w:r>
      <w:r>
        <w:rPr>
          <w:rFonts w:hint="eastAsia"/>
          <w:lang w:val="en-US"/>
        </w:rPr>
        <w:t>桂林电子科技大学</w:t>
      </w:r>
      <w:r>
        <w:t>概况</w:t>
      </w:r>
    </w:p>
    <w:p>
      <w:pPr>
        <w:spacing w:line="560" w:lineRule="atLeast"/>
        <w:ind w:firstLine="643" w:firstLineChars="200"/>
        <w:rPr>
          <w:rFonts w:ascii="仿宋" w:hAnsi="仿宋" w:eastAsia="仿宋" w:cs="仿宋"/>
          <w:b/>
          <w:bCs/>
          <w:sz w:val="32"/>
          <w:szCs w:val="32"/>
        </w:rPr>
      </w:pPr>
      <w:r>
        <w:rPr>
          <w:rFonts w:hint="eastAsia" w:ascii="仿宋" w:hAnsi="仿宋" w:eastAsia="仿宋" w:cs="仿宋"/>
          <w:b/>
          <w:bCs/>
          <w:sz w:val="32"/>
          <w:szCs w:val="32"/>
        </w:rPr>
        <w:t>一、</w:t>
      </w:r>
      <w:r>
        <w:rPr>
          <w:rFonts w:hint="eastAsia" w:ascii="仿宋" w:hAnsi="仿宋" w:eastAsia="仿宋" w:cs="仿宋"/>
          <w:b/>
          <w:bCs/>
          <w:sz w:val="32"/>
          <w:szCs w:val="32"/>
          <w:lang w:val="en-US"/>
        </w:rPr>
        <w:t>主要</w:t>
      </w:r>
      <w:r>
        <w:rPr>
          <w:rFonts w:hint="eastAsia" w:ascii="仿宋" w:hAnsi="仿宋" w:eastAsia="仿宋" w:cs="仿宋"/>
          <w:b/>
          <w:bCs/>
          <w:sz w:val="32"/>
          <w:szCs w:val="32"/>
        </w:rPr>
        <w:t>职能</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桂林电子科技大学是国家工业和信息化部、国家国防科技工业局与广西共建高校、国家“中西部高校基础能力建设工程”入选高校、广西重点建设高校。学校现有金鸡岭校区、六合路校区、花江校区、北海校区四个校区，校园总面积4153亩。桂林电子科技大学始终坚持社会主义办学方向，以培养人才为中心，坚持立德树人，履行人才培养、科学研究、社会服务、国内外交流合作以及文化传承和创新等社会职能，努力建设以工学为主体，理、工、文、经、管、艺等多学科协同发展、特色鲜明的高水平大学。</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（一）人才培养方面。</w:t>
      </w:r>
      <w:r>
        <w:rPr>
          <w:rFonts w:hint="eastAsia" w:ascii="仿宋" w:hAnsi="仿宋" w:eastAsia="仿宋" w:cs="仿宋"/>
          <w:sz w:val="32"/>
          <w:szCs w:val="32"/>
          <w:lang w:val="en-US"/>
        </w:rPr>
        <w:t>学校以本科教育为主，大力发展研究生教育，积极拓展留学生教育，稳步开展职业教育和继续教育，不断深化教育教学改革，打造电子信息类人才培养高地，着力培养适应行业与地方需求、社会责任感强、专业基础扎实、务实创新、实践能力强、具有国际视野的高素质应用型人才，为地方经济社会与行业产业发展提供重要的人力资源支撑。</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（二）科学研究方面。</w:t>
      </w:r>
      <w:r>
        <w:rPr>
          <w:rFonts w:hint="eastAsia" w:ascii="仿宋" w:hAnsi="仿宋" w:eastAsia="仿宋" w:cs="仿宋"/>
          <w:sz w:val="32"/>
          <w:szCs w:val="32"/>
          <w:lang w:val="en-US"/>
        </w:rPr>
        <w:t>学校大力开展基础研究、应用研究和技术开发，实现知识创新、技术创新和成果转化，承担了一批国家科技重大项目、国家重点研发计划、国家自然科学基金重点项目、国家自然科学基金重大科研仪器专项、国家社会科学基金特别委托项目等高水平的国家级科研项目，促进行业科技进步和创新型国家建设。</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（三）社会服务方面。</w:t>
      </w:r>
      <w:r>
        <w:rPr>
          <w:rFonts w:hint="eastAsia" w:ascii="仿宋" w:hAnsi="仿宋" w:eastAsia="仿宋" w:cs="仿宋"/>
          <w:sz w:val="32"/>
          <w:szCs w:val="32"/>
          <w:lang w:val="en-US"/>
        </w:rPr>
        <w:t>学校坚持“立足广西、面向全国、辐射东盟、服务行业”的服务方向，充分发挥知识源、思想库和智囊团的作用，利用自身优势和条件，服务国家和区域经济发展，以服务谋生存，以特色促发展。</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（四）国内外交流合作方面。</w:t>
      </w:r>
      <w:r>
        <w:rPr>
          <w:rFonts w:hint="eastAsia" w:ascii="仿宋" w:hAnsi="仿宋" w:eastAsia="仿宋" w:cs="仿宋"/>
          <w:sz w:val="32"/>
          <w:szCs w:val="32"/>
          <w:lang w:val="en-US"/>
        </w:rPr>
        <w:t>学校坚持开放办学，密切与政府、企业、科研院所、社会团体、校友等方面的联系，和“一带一路”沿线国家、亚洲、欧洲、美洲、大洋洲与非洲的80余所大学和学术机构建立了良好的合作关系，现有中英和中爱等中外合作交流项目，推进了教育国际化进程。</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（五）文化传承和创新方面。</w:t>
      </w:r>
      <w:r>
        <w:rPr>
          <w:rFonts w:hint="eastAsia" w:ascii="仿宋" w:hAnsi="仿宋" w:eastAsia="仿宋" w:cs="仿宋"/>
          <w:sz w:val="32"/>
          <w:szCs w:val="32"/>
          <w:lang w:val="en-US"/>
        </w:rPr>
        <w:t>学校在“正德厚学、笃行致新”校训和“艰苦创业、自强不息”桂电精神的引领下，推进校园文化建设，弘扬优秀文化，履行文化传承创新使命，推动社会文明与进步。</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 xml:space="preserve"> 二、机构设置情况</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学校现设有内部机构44个，其中包括机电工程学院、信息与通信学院、计算机与信息安全学院、艺术与设计学院、商学院、外国语学院、数学与计算科学学院、电子工程与自动化学院、法学院、马克思主义学院、材料科学与工程学院、生命与环境科学学院、建筑与交通工程学院、人工智能学院、数字经济学院、光电工程学院、继续教育学院、国际学院、教学实践部、体育部、广西信息科学实验中心、</w:t>
      </w:r>
      <w:r>
        <w:rPr>
          <w:rFonts w:ascii="仿宋" w:hAnsi="仿宋" w:eastAsia="仿宋" w:cs="仿宋"/>
          <w:sz w:val="32"/>
          <w:szCs w:val="32"/>
          <w:lang w:val="en-US"/>
        </w:rPr>
        <w:t>网络与信息技术中心</w:t>
      </w:r>
      <w:r>
        <w:rPr>
          <w:rFonts w:hint="eastAsia" w:ascii="仿宋" w:hAnsi="仿宋" w:eastAsia="仿宋" w:cs="仿宋"/>
          <w:sz w:val="32"/>
          <w:szCs w:val="32"/>
          <w:lang w:val="en-US"/>
        </w:rPr>
        <w:t>、图书馆等</w:t>
      </w:r>
      <w:r>
        <w:rPr>
          <w:rFonts w:ascii="仿宋" w:hAnsi="仿宋" w:eastAsia="仿宋" w:cs="仿宋"/>
          <w:sz w:val="32"/>
          <w:szCs w:val="32"/>
          <w:lang w:val="en-US"/>
        </w:rPr>
        <w:t>24个</w:t>
      </w:r>
      <w:r>
        <w:rPr>
          <w:rFonts w:hint="eastAsia" w:ascii="仿宋" w:hAnsi="仿宋" w:eastAsia="仿宋" w:cs="仿宋"/>
          <w:sz w:val="32"/>
          <w:szCs w:val="32"/>
          <w:lang w:val="en-US"/>
        </w:rPr>
        <w:t>正处级教学教辅科研机构；包括党政办公室（校长办公室、保密办公室）、纪委办公室（监察室）、组织部、宣传部、学生工作部</w:t>
      </w:r>
      <w:r>
        <w:rPr>
          <w:rFonts w:ascii="仿宋" w:hAnsi="仿宋" w:eastAsia="仿宋" w:cs="仿宋"/>
          <w:sz w:val="32"/>
          <w:szCs w:val="32"/>
          <w:lang w:val="en-US"/>
        </w:rPr>
        <w:t>(处)、校工会、校团委、发展规划处、人事处、教务处、科学技术发展研究院、财务处、国有资产管理处、后勤处、基建处、审计处、研究生院、离退休工作处、保卫处</w:t>
      </w:r>
      <w:r>
        <w:rPr>
          <w:rFonts w:hint="eastAsia" w:ascii="仿宋" w:hAnsi="仿宋" w:eastAsia="仿宋" w:cs="仿宋"/>
          <w:sz w:val="32"/>
          <w:szCs w:val="32"/>
          <w:lang w:val="en-US"/>
        </w:rPr>
        <w:t>等20个正处级党务和学校事务管理机构。</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学校事业编制实有在职人员1,516名，后勤服务聘用人员控制数在职人员61名，非实名人员333名，离退休人员593名。现有在校学生42,111人，其中：博士研究生239人，硕士研究生4,670人，本科生32,591人，高职生4,611人。</w:t>
      </w:r>
    </w:p>
    <w:p>
      <w:pPr>
        <w:spacing w:line="560" w:lineRule="atLeast"/>
        <w:ind w:firstLine="640" w:firstLineChars="200"/>
        <w:rPr>
          <w:rFonts w:ascii="仿宋" w:hAnsi="仿宋" w:eastAsia="仿宋" w:cs="仿宋"/>
          <w:sz w:val="32"/>
          <w:szCs w:val="32"/>
          <w:lang w:val="en-US"/>
        </w:rPr>
      </w:pPr>
    </w:p>
    <w:p>
      <w:pPr>
        <w:spacing w:line="560" w:lineRule="atLeast"/>
        <w:jc w:val="center"/>
        <w:rPr>
          <w:rFonts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val="en-US"/>
        </w:rPr>
        <w:t>二</w:t>
      </w:r>
      <w:r>
        <w:rPr>
          <w:rFonts w:hint="eastAsia" w:ascii="黑体" w:hAnsi="黑体" w:eastAsia="黑体" w:cs="黑体"/>
          <w:sz w:val="32"/>
          <w:szCs w:val="32"/>
        </w:rPr>
        <w:t>部分：</w:t>
      </w:r>
      <w:r>
        <w:rPr>
          <w:rFonts w:hint="eastAsia" w:ascii="黑体" w:hAnsi="黑体" w:eastAsia="黑体" w:cs="黑体"/>
          <w:sz w:val="32"/>
          <w:szCs w:val="32"/>
          <w:lang w:val="en-US"/>
        </w:rPr>
        <w:t>桂林电子科技大学</w:t>
      </w:r>
      <w:r>
        <w:rPr>
          <w:rFonts w:hint="eastAsia" w:ascii="黑体" w:hAnsi="黑体" w:eastAsia="黑体" w:cs="黑体"/>
          <w:sz w:val="32"/>
          <w:szCs w:val="32"/>
        </w:rPr>
        <w:t>202</w:t>
      </w:r>
      <w:r>
        <w:rPr>
          <w:rFonts w:hint="eastAsia" w:ascii="黑体" w:hAnsi="黑体" w:eastAsia="黑体" w:cs="黑体"/>
          <w:sz w:val="32"/>
          <w:szCs w:val="32"/>
          <w:lang w:val="en-US"/>
        </w:rPr>
        <w:t>2</w:t>
      </w:r>
      <w:r>
        <w:rPr>
          <w:rFonts w:hint="eastAsia" w:ascii="黑体" w:hAnsi="黑体" w:eastAsia="黑体" w:cs="黑体"/>
          <w:sz w:val="32"/>
          <w:szCs w:val="32"/>
        </w:rPr>
        <w:t>年部门预算说明</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rPr>
        <w:t>一、</w:t>
      </w:r>
      <w:r>
        <w:rPr>
          <w:rFonts w:hint="eastAsia" w:ascii="仿宋" w:hAnsi="仿宋" w:eastAsia="仿宋" w:cs="仿宋"/>
          <w:b/>
          <w:bCs/>
          <w:sz w:val="32"/>
          <w:szCs w:val="32"/>
          <w:lang w:val="en-US"/>
        </w:rPr>
        <w:t>部门收支预算</w:t>
      </w:r>
      <w:r>
        <w:rPr>
          <w:rFonts w:hint="eastAsia" w:ascii="仿宋" w:hAnsi="仿宋" w:eastAsia="仿宋" w:cs="仿宋"/>
          <w:b/>
          <w:bCs/>
          <w:sz w:val="32"/>
          <w:szCs w:val="32"/>
        </w:rPr>
        <w:t>总体情况</w:t>
      </w:r>
      <w:r>
        <w:rPr>
          <w:rFonts w:hint="eastAsia" w:ascii="仿宋" w:hAnsi="仿宋" w:eastAsia="仿宋" w:cs="仿宋"/>
          <w:b/>
          <w:bCs/>
          <w:sz w:val="32"/>
          <w:szCs w:val="32"/>
          <w:lang w:val="en-US"/>
        </w:rPr>
        <w:t>说明</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年收</w:t>
      </w:r>
      <w:r>
        <w:rPr>
          <w:rFonts w:hint="eastAsia" w:ascii="仿宋" w:hAnsi="仿宋" w:eastAsia="仿宋" w:cs="仿宋"/>
          <w:sz w:val="32"/>
          <w:szCs w:val="32"/>
          <w:lang w:val="en-US"/>
        </w:rPr>
        <w:t>支</w:t>
      </w:r>
      <w:r>
        <w:rPr>
          <w:rFonts w:hint="eastAsia" w:ascii="仿宋" w:hAnsi="仿宋" w:eastAsia="仿宋" w:cs="仿宋"/>
          <w:sz w:val="32"/>
          <w:szCs w:val="32"/>
        </w:rPr>
        <w:t>总预算141,171.02万元,同比增加22,374.86万元,增长18.83 %。</w:t>
      </w:r>
      <w:r>
        <w:rPr>
          <w:rFonts w:hint="eastAsia" w:ascii="仿宋" w:hAnsi="仿宋" w:eastAsia="仿宋" w:cs="仿宋"/>
          <w:sz w:val="32"/>
          <w:szCs w:val="32"/>
          <w:lang w:val="en-US"/>
        </w:rPr>
        <w:t>收入包括：一般公共财政预算拨款、财政专户管理资金收入、事业收入、其他收入、上年结转结余收入；支出包括：教育支出、社会保障和就业支出、卫生健康支出、住房保障支出。</w:t>
      </w:r>
    </w:p>
    <w:p>
      <w:pPr>
        <w:spacing w:line="560" w:lineRule="atLeast"/>
        <w:ind w:firstLine="643" w:firstLineChars="200"/>
        <w:rPr>
          <w:rFonts w:ascii="仿宋" w:hAnsi="仿宋" w:eastAsia="仿宋" w:cs="仿宋"/>
          <w:b/>
          <w:bCs/>
          <w:sz w:val="32"/>
          <w:szCs w:val="32"/>
        </w:rPr>
      </w:pPr>
      <w:r>
        <w:rPr>
          <w:rFonts w:hint="eastAsia" w:ascii="仿宋" w:hAnsi="仿宋" w:eastAsia="仿宋" w:cs="仿宋"/>
          <w:b/>
          <w:bCs/>
          <w:sz w:val="32"/>
          <w:szCs w:val="32"/>
          <w:lang w:val="en-US"/>
        </w:rPr>
        <w:t>二、</w:t>
      </w:r>
      <w:r>
        <w:rPr>
          <w:rFonts w:hint="eastAsia" w:ascii="仿宋" w:hAnsi="仿宋" w:eastAsia="仿宋" w:cs="仿宋"/>
          <w:b/>
          <w:bCs/>
          <w:sz w:val="32"/>
          <w:szCs w:val="32"/>
        </w:rPr>
        <w:t>部门收入预算总体情况说明</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年收入总预算141,171.02万元,同比增加22,374.86万元,增长18.83 %。</w:t>
      </w:r>
      <w:r>
        <w:rPr>
          <w:rFonts w:hint="eastAsia" w:ascii="仿宋" w:hAnsi="仿宋" w:eastAsia="仿宋" w:cs="仿宋"/>
          <w:sz w:val="32"/>
          <w:szCs w:val="32"/>
          <w:lang w:val="en-US"/>
        </w:rPr>
        <w:t>其中:</w:t>
      </w:r>
      <w:r>
        <w:rPr>
          <w:rFonts w:hint="eastAsia" w:ascii="仿宋" w:hAnsi="仿宋" w:eastAsia="仿宋" w:cs="仿宋"/>
          <w:sz w:val="32"/>
          <w:szCs w:val="32"/>
        </w:rPr>
        <w:t>一般公共预算收入50,357.02万元,占收入总预算</w:t>
      </w:r>
      <w:r>
        <w:rPr>
          <w:rFonts w:hint="eastAsia" w:ascii="仿宋" w:hAnsi="仿宋" w:eastAsia="仿宋" w:cs="仿宋"/>
          <w:sz w:val="32"/>
          <w:szCs w:val="32"/>
          <w:lang w:val="en-US"/>
        </w:rPr>
        <w:t>35.67</w:t>
      </w:r>
      <w:r>
        <w:rPr>
          <w:rFonts w:hint="eastAsia" w:ascii="仿宋" w:hAnsi="仿宋" w:eastAsia="仿宋" w:cs="仿宋"/>
          <w:sz w:val="32"/>
          <w:szCs w:val="32"/>
        </w:rPr>
        <w:t>%，同比增加1,210.86万元,增长2.45%；纳入财政专户管理的收入即教育收费收入安排的资金47,014万元,占收入总预算</w:t>
      </w:r>
      <w:r>
        <w:rPr>
          <w:rFonts w:hint="eastAsia" w:ascii="仿宋" w:hAnsi="仿宋" w:eastAsia="仿宋" w:cs="仿宋"/>
          <w:sz w:val="32"/>
          <w:szCs w:val="32"/>
          <w:lang w:val="en-US"/>
        </w:rPr>
        <w:t>33.3</w:t>
      </w:r>
      <w:r>
        <w:rPr>
          <w:rFonts w:hint="eastAsia" w:ascii="仿宋" w:hAnsi="仿宋" w:eastAsia="仿宋" w:cs="仿宋"/>
          <w:sz w:val="32"/>
          <w:szCs w:val="32"/>
        </w:rPr>
        <w:t>%，同比减少2,836万元,下降5.69%；未纳入财政专户管理的收入即科研收入和其他收入安排的资金23,000万元,占收入总预算</w:t>
      </w:r>
      <w:r>
        <w:rPr>
          <w:rFonts w:hint="eastAsia" w:ascii="仿宋" w:hAnsi="仿宋" w:eastAsia="仿宋" w:cs="仿宋"/>
          <w:sz w:val="32"/>
          <w:szCs w:val="32"/>
          <w:lang w:val="en-US"/>
        </w:rPr>
        <w:t>16.29</w:t>
      </w:r>
      <w:r>
        <w:rPr>
          <w:rFonts w:hint="eastAsia" w:ascii="仿宋" w:hAnsi="仿宋" w:eastAsia="仿宋" w:cs="仿宋"/>
          <w:sz w:val="32"/>
          <w:szCs w:val="32"/>
        </w:rPr>
        <w:t>%，同比增加3,200万元,增长16.16%；</w:t>
      </w:r>
      <w:r>
        <w:rPr>
          <w:rFonts w:hint="eastAsia" w:ascii="仿宋" w:hAnsi="仿宋" w:eastAsia="仿宋" w:cs="仿宋"/>
          <w:sz w:val="32"/>
          <w:szCs w:val="32"/>
          <w:lang w:val="en-US"/>
        </w:rPr>
        <w:t>上年结转结余资金安排预算20,800万元，</w:t>
      </w:r>
      <w:r>
        <w:rPr>
          <w:rFonts w:hint="eastAsia" w:ascii="仿宋" w:hAnsi="仿宋" w:eastAsia="仿宋" w:cs="仿宋"/>
          <w:sz w:val="32"/>
          <w:szCs w:val="32"/>
        </w:rPr>
        <w:t>占收入总预算</w:t>
      </w:r>
      <w:r>
        <w:rPr>
          <w:rFonts w:hint="eastAsia" w:ascii="仿宋" w:hAnsi="仿宋" w:eastAsia="仿宋" w:cs="仿宋"/>
          <w:sz w:val="32"/>
          <w:szCs w:val="32"/>
          <w:lang w:val="en-US"/>
        </w:rPr>
        <w:t>14.73</w:t>
      </w:r>
      <w:r>
        <w:rPr>
          <w:rFonts w:hint="eastAsia" w:ascii="仿宋" w:hAnsi="仿宋" w:eastAsia="仿宋" w:cs="仿宋"/>
          <w:sz w:val="32"/>
          <w:szCs w:val="32"/>
        </w:rPr>
        <w:t>%，同比增加</w:t>
      </w:r>
      <w:r>
        <w:rPr>
          <w:rFonts w:hint="eastAsia" w:ascii="仿宋" w:hAnsi="仿宋" w:eastAsia="仿宋" w:cs="仿宋"/>
          <w:sz w:val="32"/>
          <w:szCs w:val="32"/>
          <w:lang w:val="en-US"/>
        </w:rPr>
        <w:t>20,800</w:t>
      </w:r>
      <w:r>
        <w:rPr>
          <w:rFonts w:hint="eastAsia" w:ascii="仿宋" w:hAnsi="仿宋" w:eastAsia="仿宋" w:cs="仿宋"/>
          <w:sz w:val="32"/>
          <w:szCs w:val="32"/>
        </w:rPr>
        <w:t>万元,增长</w:t>
      </w:r>
      <w:r>
        <w:rPr>
          <w:rFonts w:hint="eastAsia" w:ascii="仿宋" w:hAnsi="仿宋" w:eastAsia="仿宋" w:cs="仿宋"/>
          <w:sz w:val="32"/>
          <w:szCs w:val="32"/>
          <w:lang w:val="en-US"/>
        </w:rPr>
        <w:t>100</w:t>
      </w:r>
      <w:r>
        <w:rPr>
          <w:rFonts w:hint="eastAsia" w:ascii="仿宋" w:hAnsi="仿宋" w:eastAsia="仿宋" w:cs="仿宋"/>
          <w:sz w:val="32"/>
          <w:szCs w:val="32"/>
        </w:rPr>
        <w:t>%。</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2022年收入预算总体增加主要原因一是生均拨款标准略有提高，二是随着教职工正常晋级、职务晋升以及人数的增长，使得基本支出中工资福利支出、其他对个人和家庭的补助、公积金、医疗保险等人员经费增加，三是由于2020-2021年连续两年疫情影响，部分科研项目中涉及国外和国内部分地区的调研和学术会议无法举办，造成这些科研经费结转金额较大，2022年部门预算中使用上年结转结余资金安排了20,800万元。</w:t>
      </w:r>
    </w:p>
    <w:p>
      <w:pPr>
        <w:spacing w:line="560" w:lineRule="atLeast"/>
        <w:rPr>
          <w:rFonts w:ascii="仿宋" w:hAnsi="仿宋" w:eastAsia="仿宋" w:cs="仿宋"/>
          <w:b/>
          <w:bCs/>
          <w:sz w:val="32"/>
          <w:szCs w:val="32"/>
          <w:lang w:val="en-US"/>
        </w:rPr>
      </w:pPr>
      <w:r>
        <w:rPr>
          <w:rFonts w:hint="eastAsia" w:ascii="仿宋" w:hAnsi="仿宋" w:eastAsia="仿宋" w:cs="仿宋"/>
          <w:sz w:val="32"/>
          <w:szCs w:val="32"/>
        </w:rPr>
        <w:t> </w:t>
      </w:r>
      <w:r>
        <w:rPr>
          <w:rFonts w:hint="eastAsia" w:ascii="仿宋" w:hAnsi="仿宋" w:eastAsia="仿宋" w:cs="仿宋"/>
          <w:sz w:val="32"/>
          <w:szCs w:val="32"/>
          <w:lang w:val="en-US"/>
        </w:rPr>
        <w:t xml:space="preserve">  </w:t>
      </w:r>
      <w:r>
        <w:rPr>
          <w:rFonts w:hint="eastAsia" w:ascii="仿宋" w:hAnsi="仿宋" w:eastAsia="仿宋" w:cs="仿宋"/>
          <w:b/>
          <w:bCs/>
          <w:sz w:val="32"/>
          <w:szCs w:val="32"/>
          <w:lang w:val="en-US"/>
        </w:rPr>
        <w:t xml:space="preserve"> 三、</w:t>
      </w:r>
      <w:r>
        <w:rPr>
          <w:rFonts w:hint="eastAsia" w:ascii="仿宋" w:hAnsi="仿宋" w:eastAsia="仿宋" w:cs="仿宋"/>
          <w:b/>
          <w:bCs/>
          <w:sz w:val="32"/>
          <w:szCs w:val="32"/>
        </w:rPr>
        <w:t>部门支出预算总体情况说明</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年支出总预算141,171.02万元，同比增加22,374.86万元,增长18.83 %。</w:t>
      </w:r>
    </w:p>
    <w:p>
      <w:pPr>
        <w:spacing w:line="560" w:lineRule="atLeas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val="en-US"/>
        </w:rPr>
        <w:t>一）</w:t>
      </w:r>
      <w:r>
        <w:rPr>
          <w:rFonts w:hint="eastAsia" w:ascii="仿宋" w:hAnsi="仿宋" w:eastAsia="仿宋" w:cs="仿宋"/>
          <w:b/>
          <w:bCs/>
          <w:sz w:val="32"/>
          <w:szCs w:val="32"/>
        </w:rPr>
        <w:t>按支出功能分类科目划分，共分为四类，其中：</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1、教育支出136,961.4万元，占支出总预算97.02%，同比增加22,168.54万元，增长19.31%。</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2、社会保障和就业支出1,883.27万元，占支出总预算1.33%，同比增加92.19万元，增长5.15%。</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3、卫生健康支出1,384.71万元，占支出总预算0.98%，同比增加68.03万元，增长5.17%。</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4、住房保障支出941.64万元，占支出总预算0.67%，同比增加46.1万元，増长5.15%。</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支出增加的原因主要一是由于教职工人员数量的增加、职称以及工作年限的变化而导致的工资福利以及社会保障费的增长；二是受2020-2021年连续两年疫情影响，部分科研项目经费结转金额较大，2022年部门预算中使用上年结转结余资金安排了科研支出20,800万元。</w:t>
      </w:r>
    </w:p>
    <w:p>
      <w:pPr>
        <w:spacing w:line="560" w:lineRule="atLeast"/>
        <w:ind w:firstLine="643" w:firstLineChars="200"/>
        <w:jc w:val="both"/>
        <w:rPr>
          <w:rFonts w:ascii="仿宋" w:hAnsi="仿宋" w:eastAsia="仿宋" w:cs="仿宋"/>
          <w:b/>
          <w:bCs/>
          <w:sz w:val="32"/>
          <w:szCs w:val="32"/>
          <w:lang w:val="en-US"/>
        </w:rPr>
      </w:pPr>
      <w:r>
        <w:rPr>
          <w:rFonts w:hint="eastAsia" w:ascii="仿宋" w:hAnsi="仿宋" w:eastAsia="仿宋" w:cs="仿宋"/>
          <w:b/>
          <w:bCs/>
          <w:sz w:val="32"/>
          <w:szCs w:val="32"/>
          <w:lang w:val="en-US"/>
        </w:rPr>
        <w:t>（二）按支出结构分类划分,分为基本支出预算和项目支出预算。</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1、基本支出预算41,854.53万元,占支出总预算29.65%,同比增加20,239.1万元,增长93.63%，其中：</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工资福利支出预算27,663.82万元,占基本支出预算66.10%,同比增加15,285.55万元,增长123.49%;</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公用经费(商品和服务支出)预算11,872.47万元,占基本支出预算28.37%,同比增加4,844.86万元,增长68.94%。</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对个人和家庭的补助预算2,318.23万元,占基本支出预算5.54%,同比增加108.68万元,增长4.92%。</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基本支出增加的主要原因是2022年的编制口径的变化，自治区本级资金安排的生均定额拨款经费由原项目支出预算变更为基本支出预算，基本支出预算中的人员经费预算和公用经费预算相应增加。</w:t>
      </w:r>
    </w:p>
    <w:p>
      <w:pPr>
        <w:numPr>
          <w:ilvl w:val="0"/>
          <w:numId w:val="1"/>
        </w:num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lang w:val="en-US"/>
        </w:rPr>
        <w:t>项目支出预算99,316.5万元,占支出总预算70.35%,同比增加2,135.77万元,</w:t>
      </w:r>
      <w:r>
        <w:rPr>
          <w:rFonts w:hint="eastAsia" w:ascii="仿宋" w:hAnsi="仿宋" w:eastAsia="仿宋" w:cs="仿宋"/>
          <w:sz w:val="32"/>
          <w:szCs w:val="32"/>
        </w:rPr>
        <w:t>增长</w:t>
      </w:r>
      <w:r>
        <w:rPr>
          <w:rFonts w:hint="eastAsia" w:ascii="仿宋" w:hAnsi="仿宋" w:eastAsia="仿宋" w:cs="仿宋"/>
          <w:sz w:val="32"/>
          <w:szCs w:val="32"/>
          <w:lang w:val="en-US"/>
        </w:rPr>
        <w:t>2.2%，其中：</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工资福利支出</w:t>
      </w:r>
      <w:r>
        <w:rPr>
          <w:rFonts w:hint="eastAsia" w:ascii="仿宋" w:hAnsi="仿宋" w:eastAsia="仿宋" w:cs="仿宋"/>
          <w:sz w:val="32"/>
          <w:szCs w:val="32"/>
          <w:lang w:val="en-US"/>
        </w:rPr>
        <w:t>41,777.15</w:t>
      </w:r>
      <w:r>
        <w:rPr>
          <w:rFonts w:hint="eastAsia" w:ascii="仿宋" w:hAnsi="仿宋" w:eastAsia="仿宋" w:cs="仿宋"/>
          <w:sz w:val="32"/>
          <w:szCs w:val="32"/>
        </w:rPr>
        <w:t>万元，占项目支出预算的</w:t>
      </w:r>
      <w:r>
        <w:rPr>
          <w:rFonts w:hint="eastAsia" w:ascii="仿宋" w:hAnsi="仿宋" w:eastAsia="仿宋" w:cs="仿宋"/>
          <w:sz w:val="32"/>
          <w:szCs w:val="32"/>
          <w:lang w:val="en-US"/>
        </w:rPr>
        <w:t>42.06</w:t>
      </w:r>
      <w:r>
        <w:rPr>
          <w:rFonts w:hint="eastAsia" w:ascii="仿宋" w:hAnsi="仿宋" w:eastAsia="仿宋" w:cs="仿宋"/>
          <w:sz w:val="32"/>
          <w:szCs w:val="32"/>
        </w:rPr>
        <w:t>%，同比</w:t>
      </w:r>
      <w:r>
        <w:rPr>
          <w:rFonts w:hint="eastAsia" w:ascii="仿宋" w:hAnsi="仿宋" w:eastAsia="仿宋" w:cs="仿宋"/>
          <w:sz w:val="32"/>
          <w:szCs w:val="32"/>
          <w:lang w:val="en-US"/>
        </w:rPr>
        <w:t>减少10,417.3</w:t>
      </w:r>
      <w:r>
        <w:rPr>
          <w:rFonts w:hint="eastAsia" w:ascii="仿宋" w:hAnsi="仿宋" w:eastAsia="仿宋" w:cs="仿宋"/>
          <w:sz w:val="32"/>
          <w:szCs w:val="32"/>
        </w:rPr>
        <w:t>万元，</w:t>
      </w:r>
      <w:r>
        <w:rPr>
          <w:rFonts w:hint="eastAsia" w:ascii="仿宋" w:hAnsi="仿宋" w:eastAsia="仿宋" w:cs="仿宋"/>
          <w:sz w:val="32"/>
          <w:szCs w:val="32"/>
          <w:lang w:val="en-US"/>
        </w:rPr>
        <w:t>下降20</w:t>
      </w:r>
      <w:r>
        <w:rPr>
          <w:rFonts w:hint="eastAsia" w:ascii="仿宋" w:hAnsi="仿宋" w:eastAsia="仿宋" w:cs="仿宋"/>
          <w:sz w:val="32"/>
          <w:szCs w:val="32"/>
        </w:rPr>
        <w:t>%</w:t>
      </w:r>
      <w:r>
        <w:rPr>
          <w:rFonts w:hint="eastAsia" w:ascii="仿宋" w:hAnsi="仿宋" w:eastAsia="仿宋" w:cs="仿宋"/>
          <w:sz w:val="32"/>
          <w:szCs w:val="32"/>
          <w:lang w:val="en-US"/>
        </w:rPr>
        <w:t>.</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商品和服务支出</w:t>
      </w:r>
      <w:r>
        <w:rPr>
          <w:rFonts w:hint="eastAsia" w:ascii="仿宋" w:hAnsi="仿宋" w:eastAsia="仿宋" w:cs="仿宋"/>
          <w:sz w:val="32"/>
          <w:szCs w:val="32"/>
          <w:lang w:val="en-US"/>
        </w:rPr>
        <w:t>27,841.25</w:t>
      </w:r>
      <w:r>
        <w:rPr>
          <w:rFonts w:hint="eastAsia" w:ascii="仿宋" w:hAnsi="仿宋" w:eastAsia="仿宋" w:cs="仿宋"/>
          <w:sz w:val="32"/>
          <w:szCs w:val="32"/>
        </w:rPr>
        <w:t>万元，占项目支出预算的</w:t>
      </w:r>
      <w:r>
        <w:rPr>
          <w:rFonts w:hint="eastAsia" w:ascii="仿宋" w:hAnsi="仿宋" w:eastAsia="仿宋" w:cs="仿宋"/>
          <w:sz w:val="32"/>
          <w:szCs w:val="32"/>
          <w:lang w:val="en-US"/>
        </w:rPr>
        <w:t>28.03</w:t>
      </w:r>
      <w:r>
        <w:rPr>
          <w:rFonts w:hint="eastAsia" w:ascii="仿宋" w:hAnsi="仿宋" w:eastAsia="仿宋" w:cs="仿宋"/>
          <w:sz w:val="32"/>
          <w:szCs w:val="32"/>
        </w:rPr>
        <w:t>%，同比增加</w:t>
      </w:r>
      <w:r>
        <w:rPr>
          <w:rFonts w:hint="eastAsia" w:ascii="仿宋" w:hAnsi="仿宋" w:eastAsia="仿宋" w:cs="仿宋"/>
          <w:sz w:val="32"/>
          <w:szCs w:val="32"/>
          <w:lang w:val="en-US"/>
        </w:rPr>
        <w:t>10,059.55</w:t>
      </w:r>
      <w:r>
        <w:rPr>
          <w:rFonts w:hint="eastAsia" w:ascii="仿宋" w:hAnsi="仿宋" w:eastAsia="仿宋" w:cs="仿宋"/>
          <w:sz w:val="32"/>
          <w:szCs w:val="32"/>
        </w:rPr>
        <w:t>万元，增长</w:t>
      </w:r>
      <w:r>
        <w:rPr>
          <w:rFonts w:hint="eastAsia" w:ascii="仿宋" w:hAnsi="仿宋" w:eastAsia="仿宋" w:cs="仿宋"/>
          <w:sz w:val="32"/>
          <w:szCs w:val="32"/>
          <w:lang w:val="en-US"/>
        </w:rPr>
        <w:t>56.57</w:t>
      </w:r>
      <w:r>
        <w:rPr>
          <w:rFonts w:hint="eastAsia" w:ascii="仿宋" w:hAnsi="仿宋" w:eastAsia="仿宋" w:cs="仿宋"/>
          <w:sz w:val="32"/>
          <w:szCs w:val="32"/>
        </w:rPr>
        <w:t>%。</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对个人和家庭的补助支出</w:t>
      </w:r>
      <w:r>
        <w:rPr>
          <w:rFonts w:hint="eastAsia" w:ascii="仿宋" w:hAnsi="仿宋" w:eastAsia="仿宋" w:cs="仿宋"/>
          <w:sz w:val="32"/>
          <w:szCs w:val="32"/>
          <w:lang w:val="en-US"/>
        </w:rPr>
        <w:t>8,870.3</w:t>
      </w:r>
      <w:r>
        <w:rPr>
          <w:rFonts w:hint="eastAsia" w:ascii="仿宋" w:hAnsi="仿宋" w:eastAsia="仿宋" w:cs="仿宋"/>
          <w:sz w:val="32"/>
          <w:szCs w:val="32"/>
        </w:rPr>
        <w:t>万元，占项目支出预算的</w:t>
      </w:r>
      <w:r>
        <w:rPr>
          <w:rFonts w:hint="eastAsia" w:ascii="仿宋" w:hAnsi="仿宋" w:eastAsia="仿宋" w:cs="仿宋"/>
          <w:sz w:val="32"/>
          <w:szCs w:val="32"/>
          <w:lang w:val="en-US"/>
        </w:rPr>
        <w:t>8.93</w:t>
      </w:r>
      <w:r>
        <w:rPr>
          <w:rFonts w:hint="eastAsia" w:ascii="仿宋" w:hAnsi="仿宋" w:eastAsia="仿宋" w:cs="仿宋"/>
          <w:sz w:val="32"/>
          <w:szCs w:val="32"/>
        </w:rPr>
        <w:t>%，同比</w:t>
      </w:r>
      <w:r>
        <w:rPr>
          <w:rFonts w:hint="eastAsia" w:ascii="仿宋" w:hAnsi="仿宋" w:eastAsia="仿宋" w:cs="仿宋"/>
          <w:sz w:val="32"/>
          <w:szCs w:val="32"/>
          <w:lang w:val="en-US"/>
        </w:rPr>
        <w:t>减少2,775.99</w:t>
      </w:r>
      <w:r>
        <w:rPr>
          <w:rFonts w:hint="eastAsia" w:ascii="仿宋" w:hAnsi="仿宋" w:eastAsia="仿宋" w:cs="仿宋"/>
          <w:sz w:val="32"/>
          <w:szCs w:val="32"/>
        </w:rPr>
        <w:t>万元，</w:t>
      </w:r>
      <w:r>
        <w:rPr>
          <w:rFonts w:hint="eastAsia" w:ascii="仿宋" w:hAnsi="仿宋" w:eastAsia="仿宋" w:cs="仿宋"/>
          <w:sz w:val="32"/>
          <w:szCs w:val="32"/>
          <w:lang w:val="en-US"/>
        </w:rPr>
        <w:t>下降23.84</w:t>
      </w:r>
      <w:r>
        <w:rPr>
          <w:rFonts w:hint="eastAsia" w:ascii="仿宋" w:hAnsi="仿宋" w:eastAsia="仿宋" w:cs="仿宋"/>
          <w:sz w:val="32"/>
          <w:szCs w:val="32"/>
        </w:rPr>
        <w:t>%。</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债务</w:t>
      </w:r>
      <w:r>
        <w:rPr>
          <w:rFonts w:hint="eastAsia" w:ascii="仿宋" w:hAnsi="仿宋" w:eastAsia="仿宋" w:cs="仿宋"/>
          <w:sz w:val="32"/>
          <w:szCs w:val="32"/>
          <w:lang w:val="en-US"/>
        </w:rPr>
        <w:t>付息</w:t>
      </w:r>
      <w:r>
        <w:rPr>
          <w:rFonts w:hint="eastAsia" w:ascii="仿宋" w:hAnsi="仿宋" w:eastAsia="仿宋" w:cs="仿宋"/>
          <w:sz w:val="32"/>
          <w:szCs w:val="32"/>
        </w:rPr>
        <w:t>支出</w:t>
      </w:r>
      <w:r>
        <w:rPr>
          <w:rFonts w:hint="eastAsia" w:ascii="仿宋" w:hAnsi="仿宋" w:eastAsia="仿宋" w:cs="仿宋"/>
          <w:sz w:val="32"/>
          <w:szCs w:val="32"/>
          <w:lang w:val="en-US"/>
        </w:rPr>
        <w:t>3,938</w:t>
      </w:r>
      <w:r>
        <w:rPr>
          <w:rFonts w:hint="eastAsia" w:ascii="仿宋" w:hAnsi="仿宋" w:eastAsia="仿宋" w:cs="仿宋"/>
          <w:sz w:val="32"/>
          <w:szCs w:val="32"/>
        </w:rPr>
        <w:t>万元，占项目支出预算的</w:t>
      </w:r>
      <w:r>
        <w:rPr>
          <w:rFonts w:hint="eastAsia" w:ascii="仿宋" w:hAnsi="仿宋" w:eastAsia="仿宋" w:cs="仿宋"/>
          <w:sz w:val="32"/>
          <w:szCs w:val="32"/>
          <w:lang w:val="en-US"/>
        </w:rPr>
        <w:t>3.97</w:t>
      </w:r>
      <w:r>
        <w:rPr>
          <w:rFonts w:hint="eastAsia" w:ascii="仿宋" w:hAnsi="仿宋" w:eastAsia="仿宋" w:cs="仿宋"/>
          <w:sz w:val="32"/>
          <w:szCs w:val="32"/>
        </w:rPr>
        <w:t>%，同比增加</w:t>
      </w:r>
      <w:r>
        <w:rPr>
          <w:rFonts w:hint="eastAsia" w:ascii="仿宋" w:hAnsi="仿宋" w:eastAsia="仿宋" w:cs="仿宋"/>
          <w:sz w:val="32"/>
          <w:szCs w:val="32"/>
          <w:lang w:val="en-US"/>
        </w:rPr>
        <w:t>1,810</w:t>
      </w:r>
      <w:r>
        <w:rPr>
          <w:rFonts w:hint="eastAsia" w:ascii="仿宋" w:hAnsi="仿宋" w:eastAsia="仿宋" w:cs="仿宋"/>
          <w:sz w:val="32"/>
          <w:szCs w:val="32"/>
        </w:rPr>
        <w:t>万元，增长</w:t>
      </w:r>
      <w:r>
        <w:rPr>
          <w:rFonts w:hint="eastAsia" w:ascii="仿宋" w:hAnsi="仿宋" w:eastAsia="仿宋" w:cs="仿宋"/>
          <w:sz w:val="32"/>
          <w:szCs w:val="32"/>
          <w:lang w:val="en-US"/>
        </w:rPr>
        <w:t>85.06</w:t>
      </w:r>
      <w:r>
        <w:rPr>
          <w:rFonts w:hint="eastAsia" w:ascii="仿宋" w:hAnsi="仿宋" w:eastAsia="仿宋" w:cs="仿宋"/>
          <w:sz w:val="32"/>
          <w:szCs w:val="32"/>
        </w:rPr>
        <w:t>%。</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债务还本支出</w:t>
      </w:r>
      <w:r>
        <w:rPr>
          <w:rFonts w:hint="eastAsia" w:ascii="仿宋" w:hAnsi="仿宋" w:eastAsia="仿宋" w:cs="仿宋"/>
          <w:sz w:val="32"/>
          <w:szCs w:val="32"/>
          <w:lang w:val="en-US"/>
        </w:rPr>
        <w:t>支出3,156万元，</w:t>
      </w:r>
      <w:r>
        <w:rPr>
          <w:rFonts w:hint="eastAsia" w:ascii="仿宋" w:hAnsi="仿宋" w:eastAsia="仿宋" w:cs="仿宋"/>
          <w:sz w:val="32"/>
          <w:szCs w:val="32"/>
        </w:rPr>
        <w:t>占项目支出预算的</w:t>
      </w:r>
      <w:r>
        <w:rPr>
          <w:rFonts w:hint="eastAsia" w:ascii="仿宋" w:hAnsi="仿宋" w:eastAsia="仿宋" w:cs="仿宋"/>
          <w:sz w:val="32"/>
          <w:szCs w:val="32"/>
          <w:lang w:val="en-US"/>
        </w:rPr>
        <w:t>3.18</w:t>
      </w:r>
      <w:r>
        <w:rPr>
          <w:rFonts w:hint="eastAsia" w:ascii="仿宋" w:hAnsi="仿宋" w:eastAsia="仿宋" w:cs="仿宋"/>
          <w:sz w:val="32"/>
          <w:szCs w:val="32"/>
        </w:rPr>
        <w:t>%，同比</w:t>
      </w:r>
      <w:r>
        <w:rPr>
          <w:rFonts w:hint="eastAsia" w:ascii="仿宋" w:hAnsi="仿宋" w:eastAsia="仿宋" w:cs="仿宋"/>
          <w:sz w:val="32"/>
          <w:szCs w:val="32"/>
          <w:lang w:val="en-US"/>
        </w:rPr>
        <w:t>增加600</w:t>
      </w:r>
      <w:r>
        <w:rPr>
          <w:rFonts w:hint="eastAsia" w:ascii="仿宋" w:hAnsi="仿宋" w:eastAsia="仿宋" w:cs="仿宋"/>
          <w:sz w:val="32"/>
          <w:szCs w:val="32"/>
        </w:rPr>
        <w:t>万元，</w:t>
      </w:r>
      <w:r>
        <w:rPr>
          <w:rFonts w:hint="eastAsia" w:ascii="仿宋" w:hAnsi="仿宋" w:eastAsia="仿宋" w:cs="仿宋"/>
          <w:sz w:val="32"/>
          <w:szCs w:val="32"/>
          <w:lang w:val="en-US"/>
        </w:rPr>
        <w:t>增长23.47</w:t>
      </w:r>
      <w:r>
        <w:rPr>
          <w:rFonts w:hint="eastAsia" w:ascii="仿宋" w:hAnsi="仿宋" w:eastAsia="仿宋" w:cs="仿宋"/>
          <w:sz w:val="32"/>
          <w:szCs w:val="32"/>
        </w:rPr>
        <w:t>%。</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资本性支出</w:t>
      </w:r>
      <w:r>
        <w:rPr>
          <w:rFonts w:hint="eastAsia" w:ascii="仿宋" w:hAnsi="仿宋" w:eastAsia="仿宋" w:cs="仿宋"/>
          <w:sz w:val="32"/>
          <w:szCs w:val="32"/>
          <w:lang w:val="en-US"/>
        </w:rPr>
        <w:t>13,711.15</w:t>
      </w:r>
      <w:r>
        <w:rPr>
          <w:rFonts w:hint="eastAsia" w:ascii="仿宋" w:hAnsi="仿宋" w:eastAsia="仿宋" w:cs="仿宋"/>
          <w:sz w:val="32"/>
          <w:szCs w:val="32"/>
        </w:rPr>
        <w:t>万元，占项目支出预算的</w:t>
      </w:r>
      <w:r>
        <w:rPr>
          <w:rFonts w:hint="eastAsia" w:ascii="仿宋" w:hAnsi="仿宋" w:eastAsia="仿宋" w:cs="仿宋"/>
          <w:sz w:val="32"/>
          <w:szCs w:val="32"/>
          <w:lang w:val="en-US"/>
        </w:rPr>
        <w:t>13.81</w:t>
      </w:r>
      <w:r>
        <w:rPr>
          <w:rFonts w:hint="eastAsia" w:ascii="仿宋" w:hAnsi="仿宋" w:eastAsia="仿宋" w:cs="仿宋"/>
          <w:sz w:val="32"/>
          <w:szCs w:val="32"/>
        </w:rPr>
        <w:t>%，同比</w:t>
      </w:r>
      <w:r>
        <w:rPr>
          <w:rFonts w:hint="eastAsia" w:ascii="仿宋" w:hAnsi="仿宋" w:eastAsia="仿宋" w:cs="仿宋"/>
          <w:sz w:val="32"/>
          <w:szCs w:val="32"/>
          <w:lang w:val="en-US"/>
        </w:rPr>
        <w:t>增加2,836.86</w:t>
      </w:r>
      <w:r>
        <w:rPr>
          <w:rFonts w:hint="eastAsia" w:ascii="仿宋" w:hAnsi="仿宋" w:eastAsia="仿宋" w:cs="仿宋"/>
          <w:sz w:val="32"/>
          <w:szCs w:val="32"/>
        </w:rPr>
        <w:t>万元，</w:t>
      </w:r>
      <w:r>
        <w:rPr>
          <w:rFonts w:hint="eastAsia" w:ascii="仿宋" w:hAnsi="仿宋" w:eastAsia="仿宋" w:cs="仿宋"/>
          <w:sz w:val="32"/>
          <w:szCs w:val="32"/>
          <w:lang w:val="en-US"/>
        </w:rPr>
        <w:t>增长26.09</w:t>
      </w:r>
      <w:r>
        <w:rPr>
          <w:rFonts w:hint="eastAsia" w:ascii="仿宋" w:hAnsi="仿宋" w:eastAsia="仿宋" w:cs="仿宋"/>
          <w:sz w:val="32"/>
          <w:szCs w:val="32"/>
        </w:rPr>
        <w:t>%。</w:t>
      </w:r>
    </w:p>
    <w:p>
      <w:pPr>
        <w:spacing w:line="560" w:lineRule="atLeast"/>
        <w:jc w:val="both"/>
        <w:rPr>
          <w:rFonts w:ascii="仿宋" w:hAnsi="仿宋" w:eastAsia="仿宋" w:cs="仿宋"/>
          <w:sz w:val="32"/>
          <w:szCs w:val="32"/>
          <w:lang w:val="en-US"/>
        </w:rPr>
      </w:pPr>
      <w:r>
        <w:rPr>
          <w:rFonts w:hint="eastAsia" w:ascii="仿宋" w:hAnsi="仿宋" w:eastAsia="仿宋" w:cs="仿宋"/>
          <w:sz w:val="32"/>
          <w:szCs w:val="32"/>
          <w:lang w:val="en-US"/>
        </w:rPr>
        <w:t xml:space="preserve">   项目支出预算总体看是略有增长，增加的主要原因是受2020-2021年连续两年疫情影响，部分科研项目经费结转金额较大，2022年部门预算中使用上年结转结余资金安排了科研支出20,800万元，导致科研项目预算增长较大，剔除这一因素后，项目支出预算总体同比是减少的，主要原因是因为预算编制口径的变化，自治区本级资金安排的生均定额拨款经费由原项目支出预算变更为基本支出预算，项目支出预算总体减少。</w:t>
      </w:r>
    </w:p>
    <w:p>
      <w:pPr>
        <w:spacing w:line="560" w:lineRule="atLeast"/>
        <w:ind w:firstLine="643" w:firstLineChars="200"/>
        <w:rPr>
          <w:rFonts w:ascii="仿宋" w:hAnsi="仿宋" w:eastAsia="仿宋" w:cs="仿宋"/>
          <w:sz w:val="32"/>
          <w:szCs w:val="32"/>
        </w:rPr>
      </w:pPr>
      <w:r>
        <w:rPr>
          <w:rFonts w:hint="eastAsia" w:ascii="仿宋" w:hAnsi="仿宋" w:eastAsia="仿宋" w:cs="仿宋"/>
          <w:b/>
          <w:bCs/>
          <w:sz w:val="32"/>
          <w:szCs w:val="32"/>
          <w:lang w:val="en-US"/>
        </w:rPr>
        <w:t>四</w:t>
      </w:r>
      <w:r>
        <w:rPr>
          <w:rFonts w:hint="eastAsia" w:ascii="仿宋" w:hAnsi="仿宋" w:eastAsia="仿宋" w:cs="仿宋"/>
          <w:b/>
          <w:bCs/>
          <w:sz w:val="32"/>
          <w:szCs w:val="32"/>
        </w:rPr>
        <w:t>、</w:t>
      </w:r>
      <w:r>
        <w:rPr>
          <w:rFonts w:hint="eastAsia" w:ascii="仿宋" w:hAnsi="仿宋" w:eastAsia="仿宋" w:cs="仿宋"/>
          <w:b/>
          <w:bCs/>
          <w:sz w:val="32"/>
          <w:szCs w:val="32"/>
          <w:lang w:val="en-US"/>
        </w:rPr>
        <w:t>财政拨款收支预算情况说明</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年财政拨款收支总预算50</w:t>
      </w:r>
      <w:r>
        <w:rPr>
          <w:rFonts w:hint="eastAsia" w:ascii="仿宋" w:hAnsi="仿宋" w:eastAsia="仿宋" w:cs="仿宋"/>
          <w:sz w:val="32"/>
          <w:szCs w:val="32"/>
          <w:lang w:val="en-US"/>
        </w:rPr>
        <w:t>,</w:t>
      </w:r>
      <w:r>
        <w:rPr>
          <w:rFonts w:hint="eastAsia" w:ascii="仿宋" w:hAnsi="仿宋" w:eastAsia="仿宋" w:cs="仿宋"/>
          <w:sz w:val="32"/>
          <w:szCs w:val="32"/>
        </w:rPr>
        <w:t>357.02万元，同比增加1,210.86万元,增长2.46%。收入全部为一般公共预算拨款，包括</w:t>
      </w:r>
      <w:r>
        <w:rPr>
          <w:rFonts w:hint="eastAsia" w:ascii="仿宋" w:hAnsi="仿宋" w:eastAsia="仿宋" w:cs="仿宋"/>
          <w:sz w:val="32"/>
          <w:szCs w:val="32"/>
          <w:lang w:val="en-US"/>
        </w:rPr>
        <w:t>教育</w:t>
      </w:r>
      <w:r>
        <w:rPr>
          <w:rFonts w:hint="eastAsia" w:ascii="仿宋" w:hAnsi="仿宋" w:eastAsia="仿宋" w:cs="仿宋"/>
          <w:sz w:val="32"/>
          <w:szCs w:val="32"/>
        </w:rPr>
        <w:t>支出46</w:t>
      </w:r>
      <w:r>
        <w:rPr>
          <w:rFonts w:hint="eastAsia" w:ascii="仿宋" w:hAnsi="仿宋" w:eastAsia="仿宋" w:cs="仿宋"/>
          <w:sz w:val="32"/>
          <w:szCs w:val="32"/>
          <w:lang w:val="en-US"/>
        </w:rPr>
        <w:t>,</w:t>
      </w:r>
      <w:r>
        <w:rPr>
          <w:rFonts w:hint="eastAsia" w:ascii="仿宋" w:hAnsi="仿宋" w:eastAsia="仿宋" w:cs="仿宋"/>
          <w:sz w:val="32"/>
          <w:szCs w:val="32"/>
        </w:rPr>
        <w:t>775.16万元、社会保障和就业支出</w:t>
      </w:r>
      <w:r>
        <w:rPr>
          <w:rFonts w:hint="eastAsia" w:ascii="仿宋" w:hAnsi="仿宋" w:eastAsia="仿宋" w:cs="仿宋"/>
          <w:sz w:val="32"/>
          <w:szCs w:val="32"/>
          <w:lang w:val="en-US"/>
        </w:rPr>
        <w:t>1,255.51</w:t>
      </w:r>
      <w:r>
        <w:rPr>
          <w:rFonts w:hint="eastAsia" w:ascii="仿宋" w:hAnsi="仿宋" w:eastAsia="仿宋" w:cs="仿宋"/>
          <w:sz w:val="32"/>
          <w:szCs w:val="32"/>
        </w:rPr>
        <w:t>万元、卫生健康支出</w:t>
      </w:r>
      <w:r>
        <w:rPr>
          <w:rFonts w:hint="eastAsia" w:ascii="仿宋" w:hAnsi="仿宋" w:eastAsia="仿宋" w:cs="仿宋"/>
          <w:sz w:val="32"/>
          <w:szCs w:val="32"/>
          <w:lang w:val="en-US"/>
        </w:rPr>
        <w:t>1,384.71</w:t>
      </w:r>
      <w:r>
        <w:rPr>
          <w:rFonts w:hint="eastAsia" w:ascii="仿宋" w:hAnsi="仿宋" w:eastAsia="仿宋" w:cs="仿宋"/>
          <w:sz w:val="32"/>
          <w:szCs w:val="32"/>
        </w:rPr>
        <w:t>万元、住房保障支出</w:t>
      </w:r>
      <w:r>
        <w:rPr>
          <w:rFonts w:hint="eastAsia" w:ascii="仿宋" w:hAnsi="仿宋" w:eastAsia="仿宋" w:cs="仿宋"/>
          <w:sz w:val="32"/>
          <w:szCs w:val="32"/>
          <w:lang w:val="en-US"/>
        </w:rPr>
        <w:t>941.64</w:t>
      </w:r>
      <w:r>
        <w:rPr>
          <w:rFonts w:hint="eastAsia" w:ascii="仿宋" w:hAnsi="仿宋" w:eastAsia="仿宋" w:cs="仿宋"/>
          <w:sz w:val="32"/>
          <w:szCs w:val="32"/>
        </w:rPr>
        <w:t>万元。</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五</w:t>
      </w:r>
      <w:r>
        <w:rPr>
          <w:rFonts w:hint="eastAsia" w:ascii="仿宋" w:hAnsi="仿宋" w:eastAsia="仿宋" w:cs="仿宋"/>
          <w:b/>
          <w:bCs/>
          <w:sz w:val="32"/>
          <w:szCs w:val="32"/>
        </w:rPr>
        <w:t>、</w:t>
      </w:r>
      <w:r>
        <w:rPr>
          <w:rFonts w:hint="eastAsia" w:ascii="仿宋" w:hAnsi="仿宋" w:eastAsia="仿宋" w:cs="仿宋"/>
          <w:b/>
          <w:bCs/>
          <w:sz w:val="32"/>
          <w:szCs w:val="32"/>
          <w:lang w:val="en-US"/>
        </w:rPr>
        <w:t>一般公共预算支出情况说明</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年一般公共预算支出预算50</w:t>
      </w:r>
      <w:r>
        <w:rPr>
          <w:rFonts w:hint="eastAsia" w:ascii="仿宋" w:hAnsi="仿宋" w:eastAsia="仿宋" w:cs="仿宋"/>
          <w:sz w:val="32"/>
          <w:szCs w:val="32"/>
          <w:lang w:val="en-US"/>
        </w:rPr>
        <w:t>,</w:t>
      </w:r>
      <w:r>
        <w:rPr>
          <w:rFonts w:hint="eastAsia" w:ascii="仿宋" w:hAnsi="仿宋" w:eastAsia="仿宋" w:cs="仿宋"/>
          <w:sz w:val="32"/>
          <w:szCs w:val="32"/>
        </w:rPr>
        <w:t>357.02万元，同比增加1,210.86万元，增长2.46%。其中：基本支出预算30</w:t>
      </w:r>
      <w:r>
        <w:rPr>
          <w:rFonts w:hint="eastAsia" w:ascii="仿宋" w:hAnsi="仿宋" w:eastAsia="仿宋" w:cs="仿宋"/>
          <w:sz w:val="32"/>
          <w:szCs w:val="32"/>
          <w:lang w:val="en-US"/>
        </w:rPr>
        <w:t>,</w:t>
      </w:r>
      <w:r>
        <w:rPr>
          <w:rFonts w:hint="eastAsia" w:ascii="仿宋" w:hAnsi="仿宋" w:eastAsia="仿宋" w:cs="仿宋"/>
          <w:sz w:val="32"/>
          <w:szCs w:val="32"/>
        </w:rPr>
        <w:t>798.05万元，同比增加</w:t>
      </w:r>
      <w:r>
        <w:rPr>
          <w:rFonts w:hint="eastAsia" w:ascii="仿宋" w:hAnsi="仿宋" w:eastAsia="仿宋" w:cs="仿宋"/>
          <w:sz w:val="32"/>
          <w:szCs w:val="32"/>
          <w:lang w:val="en-US"/>
        </w:rPr>
        <w:t>15,654.75</w:t>
      </w:r>
      <w:r>
        <w:rPr>
          <w:rFonts w:hint="eastAsia" w:ascii="仿宋" w:hAnsi="仿宋" w:eastAsia="仿宋" w:cs="仿宋"/>
          <w:sz w:val="32"/>
          <w:szCs w:val="32"/>
        </w:rPr>
        <w:t>万元，增长</w:t>
      </w:r>
      <w:r>
        <w:rPr>
          <w:rFonts w:hint="eastAsia" w:ascii="仿宋" w:hAnsi="仿宋" w:eastAsia="仿宋" w:cs="仿宋"/>
          <w:sz w:val="32"/>
          <w:szCs w:val="32"/>
          <w:lang w:val="en-US"/>
        </w:rPr>
        <w:t>103</w:t>
      </w:r>
      <w:r>
        <w:rPr>
          <w:rFonts w:hint="eastAsia" w:ascii="仿宋" w:hAnsi="仿宋" w:eastAsia="仿宋" w:cs="仿宋"/>
          <w:sz w:val="32"/>
          <w:szCs w:val="32"/>
        </w:rPr>
        <w:t>%；项目支出预算19</w:t>
      </w:r>
      <w:r>
        <w:rPr>
          <w:rFonts w:hint="eastAsia" w:ascii="仿宋" w:hAnsi="仿宋" w:eastAsia="仿宋" w:cs="仿宋"/>
          <w:sz w:val="32"/>
          <w:szCs w:val="32"/>
          <w:lang w:val="en-US"/>
        </w:rPr>
        <w:t>,</w:t>
      </w:r>
      <w:r>
        <w:rPr>
          <w:rFonts w:hint="eastAsia" w:ascii="仿宋" w:hAnsi="仿宋" w:eastAsia="仿宋" w:cs="仿宋"/>
          <w:sz w:val="32"/>
          <w:szCs w:val="32"/>
        </w:rPr>
        <w:t>558.97万元，同比</w:t>
      </w:r>
      <w:r>
        <w:rPr>
          <w:rFonts w:hint="eastAsia" w:ascii="仿宋" w:hAnsi="仿宋" w:eastAsia="仿宋" w:cs="仿宋"/>
          <w:sz w:val="32"/>
          <w:szCs w:val="32"/>
          <w:lang w:val="en-US"/>
        </w:rPr>
        <w:t>减少14,443.89</w:t>
      </w:r>
      <w:r>
        <w:rPr>
          <w:rFonts w:hint="eastAsia" w:ascii="仿宋" w:hAnsi="仿宋" w:eastAsia="仿宋" w:cs="仿宋"/>
          <w:sz w:val="32"/>
          <w:szCs w:val="32"/>
        </w:rPr>
        <w:t>万元，</w:t>
      </w:r>
      <w:r>
        <w:rPr>
          <w:rFonts w:hint="eastAsia" w:ascii="仿宋" w:hAnsi="仿宋" w:eastAsia="仿宋" w:cs="仿宋"/>
          <w:sz w:val="32"/>
          <w:szCs w:val="32"/>
          <w:lang w:val="en-US"/>
        </w:rPr>
        <w:t>下降42.5</w:t>
      </w:r>
      <w:r>
        <w:rPr>
          <w:rFonts w:hint="eastAsia" w:ascii="仿宋" w:hAnsi="仿宋" w:eastAsia="仿宋" w:cs="仿宋"/>
          <w:sz w:val="32"/>
          <w:szCs w:val="32"/>
        </w:rPr>
        <w:t>%。具体支出预算如下：</w:t>
      </w:r>
    </w:p>
    <w:p>
      <w:pPr>
        <w:spacing w:line="560" w:lineRule="atLeast"/>
        <w:rPr>
          <w:rFonts w:ascii="仿宋" w:hAnsi="仿宋" w:eastAsia="仿宋" w:cs="仿宋"/>
          <w:sz w:val="32"/>
          <w:szCs w:val="32"/>
          <w:lang w:val="en-US"/>
        </w:rPr>
      </w:pPr>
      <w:r>
        <w:rPr>
          <w:rFonts w:hint="eastAsia" w:ascii="仿宋" w:hAnsi="仿宋" w:eastAsia="仿宋" w:cs="仿宋"/>
          <w:sz w:val="32"/>
          <w:szCs w:val="32"/>
        </w:rPr>
        <w:t xml:space="preserve"> </w:t>
      </w:r>
      <w:r>
        <w:rPr>
          <w:rFonts w:hint="eastAsia" w:ascii="仿宋" w:hAnsi="仿宋" w:eastAsia="仿宋" w:cs="仿宋"/>
          <w:sz w:val="32"/>
          <w:szCs w:val="32"/>
          <w:lang w:val="en-US"/>
        </w:rPr>
        <w:t xml:space="preserve">  </w:t>
      </w:r>
      <w:r>
        <w:rPr>
          <w:rFonts w:hint="eastAsia" w:ascii="仿宋" w:hAnsi="仿宋" w:eastAsia="仿宋" w:cs="仿宋"/>
          <w:sz w:val="32"/>
          <w:szCs w:val="32"/>
        </w:rPr>
        <w:t>高等教育46</w:t>
      </w:r>
      <w:r>
        <w:rPr>
          <w:rFonts w:hint="eastAsia" w:ascii="仿宋" w:hAnsi="仿宋" w:eastAsia="仿宋" w:cs="仿宋"/>
          <w:sz w:val="32"/>
          <w:szCs w:val="32"/>
          <w:lang w:val="en-US"/>
        </w:rPr>
        <w:t>,</w:t>
      </w:r>
      <w:r>
        <w:rPr>
          <w:rFonts w:hint="eastAsia" w:ascii="仿宋" w:hAnsi="仿宋" w:eastAsia="仿宋" w:cs="仿宋"/>
          <w:sz w:val="32"/>
          <w:szCs w:val="32"/>
        </w:rPr>
        <w:t>775.16</w:t>
      </w:r>
      <w:r>
        <w:rPr>
          <w:rFonts w:hint="eastAsia" w:ascii="仿宋" w:hAnsi="仿宋" w:eastAsia="仿宋" w:cs="仿宋"/>
          <w:sz w:val="32"/>
          <w:szCs w:val="32"/>
          <w:lang w:val="en-US"/>
        </w:rPr>
        <w:t>万元，其中：基本支出预算27,216.19万元，项目支出预算</w:t>
      </w:r>
      <w:r>
        <w:rPr>
          <w:rFonts w:hint="eastAsia" w:ascii="仿宋" w:hAnsi="仿宋" w:eastAsia="仿宋" w:cs="仿宋"/>
          <w:sz w:val="32"/>
          <w:szCs w:val="32"/>
        </w:rPr>
        <w:t>19</w:t>
      </w:r>
      <w:r>
        <w:rPr>
          <w:rFonts w:hint="eastAsia" w:ascii="仿宋" w:hAnsi="仿宋" w:eastAsia="仿宋" w:cs="仿宋"/>
          <w:sz w:val="32"/>
          <w:szCs w:val="32"/>
          <w:lang w:val="en-US"/>
        </w:rPr>
        <w:t>,</w:t>
      </w:r>
      <w:r>
        <w:rPr>
          <w:rFonts w:hint="eastAsia" w:ascii="仿宋" w:hAnsi="仿宋" w:eastAsia="仿宋" w:cs="仿宋"/>
          <w:sz w:val="32"/>
          <w:szCs w:val="32"/>
        </w:rPr>
        <w:t>558.97</w:t>
      </w:r>
      <w:r>
        <w:rPr>
          <w:rFonts w:hint="eastAsia" w:ascii="仿宋" w:hAnsi="仿宋" w:eastAsia="仿宋" w:cs="仿宋"/>
          <w:sz w:val="32"/>
          <w:szCs w:val="32"/>
          <w:lang w:val="en-US"/>
        </w:rPr>
        <w:t xml:space="preserve">万元。基本支出主要用于学校为保证日常运转发生的基本支出，如根据国家规定的基本工资和津补贴标准等安排的人员经费支出、按自治区统一规定的开支标准安排的办公费、印刷费、水电费、差旅费、维修（护）费、专用材料费等日常公用经费支出。项目支出主要用于学校为完成年度各项特定工作任务和学校事业发展目标而发生的项目支出，包括本科高校生均定额经费、广西一流学科建设、八桂学者等人才计划类、学生奖助学金等财政专项支出以及专户管理资金和其他收入安排的绩效工资等各类专项支出。    </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机关事业单位基本养老保险缴费支出</w:t>
      </w:r>
      <w:r>
        <w:rPr>
          <w:rFonts w:hint="eastAsia" w:ascii="仿宋" w:hAnsi="仿宋" w:eastAsia="仿宋" w:cs="仿宋"/>
          <w:sz w:val="32"/>
          <w:szCs w:val="32"/>
          <w:lang w:val="en-US"/>
        </w:rPr>
        <w:t>1,255.51</w:t>
      </w:r>
      <w:r>
        <w:rPr>
          <w:rFonts w:hint="eastAsia" w:ascii="仿宋" w:hAnsi="仿宋" w:eastAsia="仿宋" w:cs="仿宋"/>
          <w:sz w:val="32"/>
          <w:szCs w:val="32"/>
        </w:rPr>
        <w:t>万元，全部是基本支出预算。主要用于支付</w:t>
      </w:r>
      <w:r>
        <w:rPr>
          <w:rFonts w:hint="eastAsia" w:ascii="仿宋" w:hAnsi="仿宋" w:eastAsia="仿宋" w:cs="仿宋"/>
          <w:sz w:val="32"/>
          <w:szCs w:val="32"/>
          <w:lang w:val="en-US"/>
        </w:rPr>
        <w:t>学校</w:t>
      </w:r>
      <w:r>
        <w:rPr>
          <w:rFonts w:hint="eastAsia" w:ascii="仿宋" w:hAnsi="仿宋" w:eastAsia="仿宋" w:cs="仿宋"/>
          <w:sz w:val="32"/>
          <w:szCs w:val="32"/>
        </w:rPr>
        <w:t>在职职工的单位养老保险费用。</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事业单位医疗</w:t>
      </w:r>
      <w:r>
        <w:rPr>
          <w:rFonts w:hint="eastAsia" w:ascii="仿宋" w:hAnsi="仿宋" w:eastAsia="仿宋" w:cs="仿宋"/>
          <w:sz w:val="32"/>
          <w:szCs w:val="32"/>
          <w:lang w:val="en-US"/>
        </w:rPr>
        <w:t>992.36</w:t>
      </w:r>
      <w:r>
        <w:rPr>
          <w:rFonts w:hint="eastAsia" w:ascii="仿宋" w:hAnsi="仿宋" w:eastAsia="仿宋" w:cs="仿宋"/>
          <w:sz w:val="32"/>
          <w:szCs w:val="32"/>
        </w:rPr>
        <w:t>万元，全部是基本支出预算。根据自治区统一规定，按</w:t>
      </w:r>
      <w:r>
        <w:rPr>
          <w:rFonts w:hint="eastAsia" w:ascii="仿宋" w:hAnsi="仿宋" w:eastAsia="仿宋" w:cs="仿宋"/>
          <w:sz w:val="32"/>
          <w:szCs w:val="32"/>
          <w:lang w:val="en-US"/>
        </w:rPr>
        <w:t>学校</w:t>
      </w:r>
      <w:r>
        <w:rPr>
          <w:rFonts w:hint="eastAsia" w:ascii="仿宋" w:hAnsi="仿宋" w:eastAsia="仿宋" w:cs="仿宋"/>
          <w:sz w:val="32"/>
          <w:szCs w:val="32"/>
        </w:rPr>
        <w:t>在职职工工资总额的一定比例计缴的医疗保险。</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lang w:val="en-US"/>
        </w:rPr>
        <w:t>公务员医疗补助392.35</w:t>
      </w:r>
      <w:r>
        <w:rPr>
          <w:rFonts w:hint="eastAsia" w:ascii="仿宋" w:hAnsi="仿宋" w:eastAsia="仿宋" w:cs="仿宋"/>
          <w:sz w:val="32"/>
          <w:szCs w:val="32"/>
        </w:rPr>
        <w:t>万元，全部是基本支出预算。根据自治区统一规定，按</w:t>
      </w:r>
      <w:r>
        <w:rPr>
          <w:rFonts w:hint="eastAsia" w:ascii="仿宋" w:hAnsi="仿宋" w:eastAsia="仿宋" w:cs="仿宋"/>
          <w:sz w:val="32"/>
          <w:szCs w:val="32"/>
          <w:lang w:val="en-US"/>
        </w:rPr>
        <w:t>学校</w:t>
      </w:r>
      <w:r>
        <w:rPr>
          <w:rFonts w:hint="eastAsia" w:ascii="仿宋" w:hAnsi="仿宋" w:eastAsia="仿宋" w:cs="仿宋"/>
          <w:sz w:val="32"/>
          <w:szCs w:val="32"/>
        </w:rPr>
        <w:t>在职职工工资总额的一定比例计缴的公务员医疗补助。</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住房公积金</w:t>
      </w:r>
      <w:r>
        <w:rPr>
          <w:rFonts w:hint="eastAsia" w:ascii="仿宋" w:hAnsi="仿宋" w:eastAsia="仿宋" w:cs="仿宋"/>
          <w:sz w:val="32"/>
          <w:szCs w:val="32"/>
          <w:lang w:val="en-US"/>
        </w:rPr>
        <w:t>941.64</w:t>
      </w:r>
      <w:r>
        <w:rPr>
          <w:rFonts w:hint="eastAsia" w:ascii="仿宋" w:hAnsi="仿宋" w:eastAsia="仿宋" w:cs="仿宋"/>
          <w:sz w:val="32"/>
          <w:szCs w:val="32"/>
        </w:rPr>
        <w:t>万元，全部是基本支出预算。是按照国家统一规定，为</w:t>
      </w:r>
      <w:r>
        <w:rPr>
          <w:rFonts w:hint="eastAsia" w:ascii="仿宋" w:hAnsi="仿宋" w:eastAsia="仿宋" w:cs="仿宋"/>
          <w:sz w:val="32"/>
          <w:szCs w:val="32"/>
          <w:lang w:val="en-US"/>
        </w:rPr>
        <w:t>学校</w:t>
      </w:r>
      <w:r>
        <w:rPr>
          <w:rFonts w:hint="eastAsia" w:ascii="仿宋" w:hAnsi="仿宋" w:eastAsia="仿宋" w:cs="仿宋"/>
          <w:sz w:val="32"/>
          <w:szCs w:val="32"/>
        </w:rPr>
        <w:t>职工计缴的住房公积金。</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六、一般公共预算基本支出情况说明</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2022年一般公共预算基本支出30,798.05万元，其中：</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人员经费28,373.78万元，主要包括：基本工资、津贴补贴、机关事业单位基本养老保险缴费、城镇职工基本医疗保险缴费、公务员医疗补助缴费、其他社会保障缴费、住房公积金、其他工资福利支出、离休费、退休费、医疗费补助、助学金、其他对个人和家庭的补助支出。</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公用经费2,424.27万元，主要包括：办公费、印刷费、水费、邮电费、差旅费、维修（护）费、专用材料费、劳务费、工会经费、其他商品和服务支出。</w:t>
      </w:r>
    </w:p>
    <w:p>
      <w:pPr>
        <w:spacing w:line="560" w:lineRule="atLeast"/>
        <w:ind w:firstLine="643" w:firstLineChars="200"/>
        <w:rPr>
          <w:rFonts w:ascii="仿宋" w:hAnsi="仿宋" w:eastAsia="仿宋" w:cs="仿宋"/>
          <w:b/>
          <w:bCs/>
          <w:sz w:val="32"/>
          <w:szCs w:val="32"/>
        </w:rPr>
      </w:pPr>
      <w:r>
        <w:rPr>
          <w:rFonts w:hint="eastAsia" w:ascii="仿宋" w:hAnsi="仿宋" w:eastAsia="仿宋" w:cs="仿宋"/>
          <w:b/>
          <w:bCs/>
          <w:sz w:val="32"/>
          <w:szCs w:val="32"/>
          <w:lang w:val="en-US"/>
        </w:rPr>
        <w:t>七</w:t>
      </w:r>
      <w:r>
        <w:rPr>
          <w:rFonts w:hint="eastAsia" w:ascii="仿宋" w:hAnsi="仿宋" w:eastAsia="仿宋" w:cs="仿宋"/>
          <w:b/>
          <w:bCs/>
          <w:sz w:val="32"/>
          <w:szCs w:val="32"/>
        </w:rPr>
        <w:t>、一般公共预算“三公”经费情况说明</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（一）202</w:t>
      </w:r>
      <w:r>
        <w:rPr>
          <w:rFonts w:hint="eastAsia" w:ascii="仿宋" w:hAnsi="仿宋" w:eastAsia="仿宋" w:cs="仿宋"/>
          <w:sz w:val="32"/>
          <w:szCs w:val="32"/>
          <w:lang w:val="en-US"/>
        </w:rPr>
        <w:t>2</w:t>
      </w:r>
      <w:r>
        <w:rPr>
          <w:rFonts w:hint="eastAsia" w:ascii="仿宋" w:hAnsi="仿宋" w:eastAsia="仿宋" w:cs="仿宋"/>
          <w:sz w:val="32"/>
          <w:szCs w:val="32"/>
        </w:rPr>
        <w:t>年部门预算全口径安排的“三公”经费预算情况。</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年部门预算全口径安排的“三公”经费预算</w:t>
      </w:r>
      <w:r>
        <w:rPr>
          <w:rFonts w:hint="eastAsia" w:ascii="仿宋" w:hAnsi="仿宋" w:eastAsia="仿宋" w:cs="仿宋"/>
          <w:sz w:val="32"/>
          <w:szCs w:val="32"/>
          <w:lang w:val="en-US"/>
        </w:rPr>
        <w:t>472</w:t>
      </w:r>
      <w:r>
        <w:rPr>
          <w:rFonts w:hint="eastAsia" w:ascii="仿宋" w:hAnsi="仿宋" w:eastAsia="仿宋" w:cs="仿宋"/>
          <w:sz w:val="32"/>
          <w:szCs w:val="32"/>
        </w:rPr>
        <w:t>万元，同比减少</w:t>
      </w:r>
      <w:r>
        <w:rPr>
          <w:rFonts w:hint="eastAsia" w:ascii="仿宋" w:hAnsi="仿宋" w:eastAsia="仿宋" w:cs="仿宋"/>
          <w:sz w:val="32"/>
          <w:szCs w:val="32"/>
          <w:lang w:val="en-US"/>
        </w:rPr>
        <w:t>108</w:t>
      </w:r>
      <w:r>
        <w:rPr>
          <w:rFonts w:hint="eastAsia" w:ascii="仿宋" w:hAnsi="仿宋" w:eastAsia="仿宋" w:cs="仿宋"/>
          <w:sz w:val="32"/>
          <w:szCs w:val="32"/>
        </w:rPr>
        <w:t>万元，同比</w:t>
      </w:r>
      <w:r>
        <w:rPr>
          <w:rFonts w:hint="eastAsia" w:ascii="仿宋" w:hAnsi="仿宋" w:eastAsia="仿宋" w:cs="仿宋"/>
          <w:sz w:val="32"/>
          <w:szCs w:val="32"/>
          <w:lang w:val="en-US"/>
        </w:rPr>
        <w:t>增加29.67</w:t>
      </w:r>
      <w:r>
        <w:rPr>
          <w:rFonts w:hint="eastAsia" w:ascii="仿宋" w:hAnsi="仿宋" w:eastAsia="仿宋" w:cs="仿宋"/>
          <w:sz w:val="32"/>
          <w:szCs w:val="32"/>
        </w:rPr>
        <w:t>%，主要为</w:t>
      </w:r>
      <w:r>
        <w:rPr>
          <w:rFonts w:hint="eastAsia" w:ascii="仿宋" w:hAnsi="仿宋" w:eastAsia="仿宋" w:cs="仿宋"/>
          <w:sz w:val="32"/>
          <w:szCs w:val="32"/>
          <w:lang w:val="en-US"/>
        </w:rPr>
        <w:t>会议费、培训费增加</w:t>
      </w:r>
      <w:r>
        <w:rPr>
          <w:rFonts w:hint="eastAsia" w:ascii="仿宋" w:hAnsi="仿宋" w:eastAsia="仿宋" w:cs="仿宋"/>
          <w:sz w:val="32"/>
          <w:szCs w:val="32"/>
        </w:rPr>
        <w:t>。其中：因公出国（境）经费支出预算</w:t>
      </w:r>
      <w:r>
        <w:rPr>
          <w:rFonts w:hint="eastAsia" w:ascii="仿宋" w:hAnsi="仿宋" w:eastAsia="仿宋" w:cs="仿宋"/>
          <w:sz w:val="32"/>
          <w:szCs w:val="32"/>
          <w:lang w:val="en-US"/>
        </w:rPr>
        <w:t>150</w:t>
      </w:r>
      <w:r>
        <w:rPr>
          <w:rFonts w:hint="eastAsia" w:ascii="仿宋" w:hAnsi="仿宋" w:eastAsia="仿宋" w:cs="仿宋"/>
          <w:sz w:val="32"/>
          <w:szCs w:val="32"/>
        </w:rPr>
        <w:t>万元，公务接待费支出预算</w:t>
      </w:r>
      <w:r>
        <w:rPr>
          <w:rFonts w:hint="eastAsia" w:ascii="仿宋" w:hAnsi="仿宋" w:eastAsia="仿宋" w:cs="仿宋"/>
          <w:sz w:val="32"/>
          <w:szCs w:val="32"/>
          <w:lang w:val="en-US"/>
        </w:rPr>
        <w:t>80</w:t>
      </w:r>
      <w:r>
        <w:rPr>
          <w:rFonts w:hint="eastAsia" w:ascii="仿宋" w:hAnsi="仿宋" w:eastAsia="仿宋" w:cs="仿宋"/>
          <w:sz w:val="32"/>
          <w:szCs w:val="32"/>
        </w:rPr>
        <w:t>万元，公务用车运行维护费支出预算</w:t>
      </w:r>
      <w:r>
        <w:rPr>
          <w:rFonts w:hint="eastAsia" w:ascii="仿宋" w:hAnsi="仿宋" w:eastAsia="仿宋" w:cs="仿宋"/>
          <w:sz w:val="32"/>
          <w:szCs w:val="32"/>
          <w:lang w:val="en-US"/>
        </w:rPr>
        <w:t>92</w:t>
      </w:r>
      <w:r>
        <w:rPr>
          <w:rFonts w:hint="eastAsia" w:ascii="仿宋" w:hAnsi="仿宋" w:eastAsia="仿宋" w:cs="仿宋"/>
          <w:sz w:val="32"/>
          <w:szCs w:val="32"/>
        </w:rPr>
        <w:t>万元，公务用车购置费支出预算为</w:t>
      </w:r>
      <w:r>
        <w:rPr>
          <w:rFonts w:hint="eastAsia" w:ascii="仿宋" w:hAnsi="仿宋" w:eastAsia="仿宋" w:cs="仿宋"/>
          <w:sz w:val="32"/>
          <w:szCs w:val="32"/>
          <w:lang w:val="en-US"/>
        </w:rPr>
        <w:t>42</w:t>
      </w:r>
      <w:r>
        <w:rPr>
          <w:rFonts w:hint="eastAsia" w:ascii="仿宋" w:hAnsi="仿宋" w:eastAsia="仿宋" w:cs="仿宋"/>
          <w:sz w:val="32"/>
          <w:szCs w:val="32"/>
        </w:rPr>
        <w:t>万元，</w:t>
      </w:r>
      <w:r>
        <w:rPr>
          <w:rFonts w:hint="eastAsia" w:ascii="仿宋" w:hAnsi="仿宋" w:eastAsia="仿宋" w:cs="仿宋"/>
          <w:sz w:val="32"/>
          <w:szCs w:val="32"/>
          <w:lang w:val="en-US"/>
        </w:rPr>
        <w:t>培训费30万元，会议费78万元</w:t>
      </w: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w:t>
      </w:r>
      <w:r>
        <w:rPr>
          <w:rFonts w:hint="eastAsia" w:ascii="仿宋" w:hAnsi="仿宋" w:eastAsia="仿宋" w:cs="仿宋"/>
          <w:sz w:val="32"/>
          <w:szCs w:val="32"/>
          <w:lang w:val="en-US"/>
        </w:rPr>
        <w:t>学</w:t>
      </w:r>
      <w:r>
        <w:rPr>
          <w:rFonts w:hint="eastAsia" w:ascii="仿宋" w:hAnsi="仿宋" w:eastAsia="仿宋" w:cs="仿宋"/>
          <w:sz w:val="32"/>
          <w:szCs w:val="32"/>
        </w:rPr>
        <w:t>校“三公”经费预算由纳入财政专户管理的收入安排资金</w:t>
      </w:r>
      <w:r>
        <w:rPr>
          <w:rFonts w:hint="eastAsia" w:ascii="仿宋" w:hAnsi="仿宋" w:eastAsia="仿宋" w:cs="仿宋"/>
          <w:sz w:val="32"/>
          <w:szCs w:val="32"/>
          <w:lang w:val="en-US"/>
        </w:rPr>
        <w:t>397万元，由单位资金安排75万元</w:t>
      </w:r>
      <w:r>
        <w:rPr>
          <w:rFonts w:hint="eastAsia" w:ascii="仿宋" w:hAnsi="仿宋" w:eastAsia="仿宋" w:cs="仿宋"/>
          <w:sz w:val="32"/>
          <w:szCs w:val="32"/>
        </w:rPr>
        <w:t xml:space="preserve">。 </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（二）202</w:t>
      </w:r>
      <w:r>
        <w:rPr>
          <w:rFonts w:hint="eastAsia" w:ascii="仿宋" w:hAnsi="仿宋" w:eastAsia="仿宋" w:cs="仿宋"/>
          <w:sz w:val="32"/>
          <w:szCs w:val="32"/>
          <w:lang w:val="en-US"/>
        </w:rPr>
        <w:t>2</w:t>
      </w:r>
      <w:r>
        <w:rPr>
          <w:rFonts w:hint="eastAsia" w:ascii="仿宋" w:hAnsi="仿宋" w:eastAsia="仿宋" w:cs="仿宋"/>
          <w:sz w:val="32"/>
          <w:szCs w:val="32"/>
        </w:rPr>
        <w:t>年一般公共预算安排的“三公”经费预算情况。</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年一般公共预算安排的“三公”经费支出预算 0万元，其中：因公出国（境）经费支出预算 0万元，公务接待费支出预算0 万元，公务用车购置及运行维护费支出预算 0 万元。</w:t>
      </w:r>
    </w:p>
    <w:p>
      <w:pPr>
        <w:spacing w:line="560" w:lineRule="atLeast"/>
        <w:ind w:firstLine="643" w:firstLineChars="200"/>
        <w:rPr>
          <w:rFonts w:ascii="仿宋" w:hAnsi="仿宋" w:eastAsia="仿宋" w:cs="仿宋"/>
          <w:b/>
          <w:bCs/>
          <w:sz w:val="32"/>
          <w:szCs w:val="32"/>
        </w:rPr>
      </w:pPr>
      <w:r>
        <w:rPr>
          <w:rFonts w:hint="eastAsia" w:ascii="仿宋" w:hAnsi="仿宋" w:eastAsia="仿宋" w:cs="仿宋"/>
          <w:b/>
          <w:bCs/>
          <w:sz w:val="32"/>
          <w:szCs w:val="32"/>
          <w:lang w:val="en-US"/>
        </w:rPr>
        <w:t>八、</w:t>
      </w:r>
      <w:r>
        <w:rPr>
          <w:rFonts w:hint="eastAsia" w:ascii="仿宋" w:hAnsi="仿宋" w:eastAsia="仿宋" w:cs="仿宋"/>
          <w:b/>
          <w:bCs/>
          <w:sz w:val="32"/>
          <w:szCs w:val="32"/>
        </w:rPr>
        <w:t>政府性基金预算情况说明</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年部门预算没有政府性基金预算支出安排。</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九、2022年部门预算其他事项说明</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（一）事业单位运行经费预算安排情况</w:t>
      </w:r>
    </w:p>
    <w:p>
      <w:pPr>
        <w:spacing w:line="560" w:lineRule="atLeast"/>
        <w:ind w:firstLine="640" w:firstLineChars="200"/>
        <w:rPr>
          <w:rFonts w:ascii="仿宋" w:hAnsi="仿宋" w:eastAsia="仿宋" w:cs="仿宋"/>
          <w:b w:val="0"/>
          <w:bCs/>
          <w:sz w:val="32"/>
          <w:szCs w:val="32"/>
          <w:lang w:val="en-US"/>
        </w:rPr>
      </w:pPr>
      <w:r>
        <w:rPr>
          <w:rFonts w:ascii="仿宋" w:hAnsi="仿宋" w:eastAsia="仿宋" w:cs="仿宋"/>
          <w:b w:val="0"/>
          <w:bCs/>
          <w:sz w:val="32"/>
          <w:szCs w:val="32"/>
          <w:lang w:val="en-US"/>
        </w:rPr>
        <w:t>2022年我校预算安排办公费100万元，印刷费60.00万元，差旅费300万元，邮电费20万元，日常维修费300万元，专用材料费300万元，办公用房水费200万元，劳务费200万元，工会经费156.94万元，学生业务费787.33万元。</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（二）政府采购预算安排情况</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年政府采购预算20</w:t>
      </w:r>
      <w:r>
        <w:rPr>
          <w:rFonts w:hint="eastAsia" w:ascii="仿宋" w:hAnsi="仿宋" w:eastAsia="仿宋" w:cs="仿宋"/>
          <w:sz w:val="32"/>
          <w:szCs w:val="32"/>
          <w:lang w:val="en-US"/>
        </w:rPr>
        <w:t>,</w:t>
      </w:r>
      <w:r>
        <w:rPr>
          <w:rFonts w:hint="eastAsia" w:ascii="仿宋" w:hAnsi="仿宋" w:eastAsia="仿宋" w:cs="仿宋"/>
          <w:sz w:val="32"/>
          <w:szCs w:val="32"/>
        </w:rPr>
        <w:t>054.5</w:t>
      </w:r>
      <w:r>
        <w:rPr>
          <w:rFonts w:hint="eastAsia" w:ascii="仿宋" w:hAnsi="仿宋" w:eastAsia="仿宋" w:cs="仿宋"/>
          <w:sz w:val="32"/>
          <w:szCs w:val="32"/>
          <w:lang w:val="en-US"/>
        </w:rPr>
        <w:t>7</w:t>
      </w:r>
      <w:r>
        <w:rPr>
          <w:rFonts w:hint="eastAsia" w:ascii="仿宋" w:hAnsi="仿宋" w:eastAsia="仿宋" w:cs="仿宋"/>
          <w:sz w:val="32"/>
          <w:szCs w:val="32"/>
        </w:rPr>
        <w:t>万元，同比增加</w:t>
      </w:r>
      <w:r>
        <w:rPr>
          <w:rFonts w:hint="eastAsia" w:ascii="仿宋" w:hAnsi="仿宋" w:eastAsia="仿宋" w:cs="仿宋"/>
          <w:sz w:val="32"/>
          <w:szCs w:val="32"/>
          <w:lang w:val="en-US"/>
        </w:rPr>
        <w:t>2,474.68</w:t>
      </w:r>
      <w:r>
        <w:rPr>
          <w:rFonts w:hint="eastAsia" w:ascii="仿宋" w:hAnsi="仿宋" w:eastAsia="仿宋" w:cs="仿宋"/>
          <w:sz w:val="32"/>
          <w:szCs w:val="32"/>
        </w:rPr>
        <w:t>万元，增长</w:t>
      </w:r>
      <w:r>
        <w:rPr>
          <w:rFonts w:hint="eastAsia" w:ascii="仿宋" w:hAnsi="仿宋" w:eastAsia="仿宋" w:cs="仿宋"/>
          <w:sz w:val="32"/>
          <w:szCs w:val="32"/>
          <w:lang w:val="en-US"/>
        </w:rPr>
        <w:t>14.08</w:t>
      </w:r>
      <w:r>
        <w:rPr>
          <w:rFonts w:hint="eastAsia" w:ascii="仿宋" w:hAnsi="仿宋" w:eastAsia="仿宋" w:cs="仿宋"/>
          <w:sz w:val="32"/>
          <w:szCs w:val="32"/>
        </w:rPr>
        <w:t>%。政府集中采购预算5</w:t>
      </w:r>
      <w:r>
        <w:rPr>
          <w:rFonts w:hint="eastAsia" w:ascii="仿宋" w:hAnsi="仿宋" w:eastAsia="仿宋" w:cs="仿宋"/>
          <w:sz w:val="32"/>
          <w:szCs w:val="32"/>
          <w:lang w:val="en-US"/>
        </w:rPr>
        <w:t>,</w:t>
      </w:r>
      <w:r>
        <w:rPr>
          <w:rFonts w:hint="eastAsia" w:ascii="仿宋" w:hAnsi="仿宋" w:eastAsia="仿宋" w:cs="仿宋"/>
          <w:sz w:val="32"/>
          <w:szCs w:val="32"/>
        </w:rPr>
        <w:t>632.42万元，占政府采购预算</w:t>
      </w:r>
      <w:r>
        <w:rPr>
          <w:rFonts w:hint="eastAsia" w:ascii="仿宋" w:hAnsi="仿宋" w:eastAsia="仿宋" w:cs="仿宋"/>
          <w:sz w:val="32"/>
          <w:szCs w:val="32"/>
          <w:lang w:val="en-US"/>
        </w:rPr>
        <w:t>28.09</w:t>
      </w:r>
      <w:r>
        <w:rPr>
          <w:rFonts w:hint="eastAsia" w:ascii="仿宋" w:hAnsi="仿宋" w:eastAsia="仿宋" w:cs="仿宋"/>
          <w:sz w:val="32"/>
          <w:szCs w:val="32"/>
        </w:rPr>
        <w:t>%，同比减少</w:t>
      </w:r>
      <w:r>
        <w:rPr>
          <w:rFonts w:hint="eastAsia" w:ascii="仿宋" w:hAnsi="仿宋" w:eastAsia="仿宋" w:cs="仿宋"/>
          <w:sz w:val="32"/>
          <w:szCs w:val="32"/>
          <w:lang w:val="en-US"/>
        </w:rPr>
        <w:t>3,591.66</w:t>
      </w:r>
      <w:r>
        <w:rPr>
          <w:rFonts w:hint="eastAsia" w:ascii="仿宋" w:hAnsi="仿宋" w:eastAsia="仿宋" w:cs="仿宋"/>
          <w:sz w:val="32"/>
          <w:szCs w:val="32"/>
        </w:rPr>
        <w:t>万元，</w:t>
      </w:r>
      <w:r>
        <w:rPr>
          <w:rFonts w:hint="eastAsia" w:ascii="仿宋" w:hAnsi="仿宋" w:eastAsia="仿宋" w:cs="仿宋"/>
          <w:sz w:val="32"/>
          <w:szCs w:val="32"/>
          <w:lang w:val="en-US"/>
        </w:rPr>
        <w:t>增长176</w:t>
      </w:r>
      <w:r>
        <w:rPr>
          <w:rFonts w:hint="eastAsia" w:ascii="仿宋" w:hAnsi="仿宋" w:eastAsia="仿宋" w:cs="仿宋"/>
          <w:sz w:val="32"/>
          <w:szCs w:val="32"/>
        </w:rPr>
        <w:t>%；分散采购预算14</w:t>
      </w:r>
      <w:r>
        <w:rPr>
          <w:rFonts w:hint="eastAsia" w:ascii="仿宋" w:hAnsi="仿宋" w:eastAsia="仿宋" w:cs="仿宋"/>
          <w:sz w:val="32"/>
          <w:szCs w:val="32"/>
          <w:lang w:val="en-US"/>
        </w:rPr>
        <w:t>,</w:t>
      </w:r>
      <w:r>
        <w:rPr>
          <w:rFonts w:hint="eastAsia" w:ascii="仿宋" w:hAnsi="仿宋" w:eastAsia="仿宋" w:cs="仿宋"/>
          <w:sz w:val="32"/>
          <w:szCs w:val="32"/>
        </w:rPr>
        <w:t>422.14万元，占政府采购预算</w:t>
      </w:r>
      <w:r>
        <w:rPr>
          <w:rFonts w:hint="eastAsia" w:ascii="仿宋" w:hAnsi="仿宋" w:eastAsia="仿宋" w:cs="仿宋"/>
          <w:sz w:val="32"/>
          <w:szCs w:val="32"/>
          <w:lang w:val="en-US"/>
        </w:rPr>
        <w:t>85.92</w:t>
      </w:r>
      <w:r>
        <w:rPr>
          <w:rFonts w:hint="eastAsia" w:ascii="仿宋" w:hAnsi="仿宋" w:eastAsia="仿宋" w:cs="仿宋"/>
          <w:sz w:val="32"/>
          <w:szCs w:val="32"/>
        </w:rPr>
        <w:t>%，同比</w:t>
      </w:r>
      <w:r>
        <w:rPr>
          <w:rFonts w:hint="eastAsia" w:ascii="仿宋" w:hAnsi="仿宋" w:eastAsia="仿宋" w:cs="仿宋"/>
          <w:sz w:val="32"/>
          <w:szCs w:val="32"/>
          <w:lang w:val="en-US"/>
        </w:rPr>
        <w:t>减少1,116.99</w:t>
      </w:r>
      <w:r>
        <w:rPr>
          <w:rFonts w:hint="eastAsia" w:ascii="仿宋" w:hAnsi="仿宋" w:eastAsia="仿宋" w:cs="仿宋"/>
          <w:sz w:val="32"/>
          <w:szCs w:val="32"/>
        </w:rPr>
        <w:t>万元，</w:t>
      </w:r>
      <w:r>
        <w:rPr>
          <w:rFonts w:hint="eastAsia" w:ascii="仿宋" w:hAnsi="仿宋" w:eastAsia="仿宋" w:cs="仿宋"/>
          <w:sz w:val="32"/>
          <w:szCs w:val="32"/>
          <w:lang w:val="en-US"/>
        </w:rPr>
        <w:t>下降7.2</w:t>
      </w:r>
      <w:r>
        <w:rPr>
          <w:rFonts w:hint="eastAsia" w:ascii="仿宋" w:hAnsi="仿宋" w:eastAsia="仿宋" w:cs="仿宋"/>
          <w:sz w:val="32"/>
          <w:szCs w:val="32"/>
        </w:rPr>
        <w:t>%。</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政府采购资金类型：一般公共预算拨款6</w:t>
      </w:r>
      <w:r>
        <w:rPr>
          <w:rFonts w:hint="eastAsia" w:ascii="仿宋" w:hAnsi="仿宋" w:eastAsia="仿宋" w:cs="仿宋"/>
          <w:sz w:val="32"/>
          <w:szCs w:val="32"/>
          <w:lang w:val="en-US"/>
        </w:rPr>
        <w:t>,</w:t>
      </w:r>
      <w:r>
        <w:rPr>
          <w:rFonts w:hint="eastAsia" w:ascii="仿宋" w:hAnsi="仿宋" w:eastAsia="仿宋" w:cs="仿宋"/>
          <w:sz w:val="32"/>
          <w:szCs w:val="32"/>
        </w:rPr>
        <w:t>139.5</w:t>
      </w:r>
      <w:r>
        <w:rPr>
          <w:rFonts w:hint="eastAsia" w:ascii="仿宋" w:hAnsi="仿宋" w:eastAsia="仿宋" w:cs="仿宋"/>
          <w:sz w:val="32"/>
          <w:szCs w:val="32"/>
          <w:lang w:val="en-US"/>
        </w:rPr>
        <w:t>8</w:t>
      </w:r>
      <w:r>
        <w:rPr>
          <w:rFonts w:hint="eastAsia" w:ascii="仿宋" w:hAnsi="仿宋" w:eastAsia="仿宋" w:cs="仿宋"/>
          <w:sz w:val="32"/>
          <w:szCs w:val="32"/>
        </w:rPr>
        <w:t>万元，财政专户管理的收入安排资金</w:t>
      </w:r>
      <w:r>
        <w:rPr>
          <w:rFonts w:hint="eastAsia" w:ascii="仿宋" w:hAnsi="仿宋" w:eastAsia="仿宋" w:cs="仿宋"/>
          <w:sz w:val="32"/>
          <w:szCs w:val="32"/>
          <w:lang w:val="en-US"/>
        </w:rPr>
        <w:t>2,998.14</w:t>
      </w:r>
      <w:r>
        <w:rPr>
          <w:rFonts w:hint="eastAsia" w:ascii="仿宋" w:hAnsi="仿宋" w:eastAsia="仿宋" w:cs="仿宋"/>
          <w:sz w:val="32"/>
          <w:szCs w:val="32"/>
        </w:rPr>
        <w:t>万元，单位资金安排</w:t>
      </w:r>
      <w:r>
        <w:rPr>
          <w:rFonts w:hint="eastAsia" w:ascii="仿宋" w:hAnsi="仿宋" w:eastAsia="仿宋" w:cs="仿宋"/>
          <w:sz w:val="32"/>
          <w:szCs w:val="32"/>
          <w:lang w:val="en-US"/>
        </w:rPr>
        <w:t>5,040.63</w:t>
      </w:r>
      <w:r>
        <w:rPr>
          <w:rFonts w:hint="eastAsia" w:ascii="仿宋" w:hAnsi="仿宋" w:eastAsia="仿宋" w:cs="仿宋"/>
          <w:sz w:val="32"/>
          <w:szCs w:val="32"/>
        </w:rPr>
        <w:t>万元，</w:t>
      </w:r>
      <w:r>
        <w:rPr>
          <w:rFonts w:hint="eastAsia" w:ascii="仿宋" w:hAnsi="仿宋" w:eastAsia="仿宋" w:cs="仿宋"/>
          <w:sz w:val="32"/>
          <w:szCs w:val="32"/>
          <w:lang w:val="en-US"/>
        </w:rPr>
        <w:t>上年结转结余资金安排5,876.22万元</w:t>
      </w:r>
      <w:r>
        <w:rPr>
          <w:rFonts w:hint="eastAsia" w:ascii="仿宋" w:hAnsi="仿宋" w:eastAsia="仿宋" w:cs="仿宋"/>
          <w:sz w:val="32"/>
          <w:szCs w:val="32"/>
        </w:rPr>
        <w:t>。</w:t>
      </w:r>
    </w:p>
    <w:p>
      <w:pPr>
        <w:spacing w:line="560" w:lineRule="atLeast"/>
        <w:ind w:firstLine="640" w:firstLineChars="200"/>
        <w:rPr>
          <w:rFonts w:ascii="仿宋" w:hAnsi="仿宋" w:eastAsia="仿宋" w:cs="仿宋"/>
          <w:sz w:val="32"/>
          <w:szCs w:val="32"/>
        </w:rPr>
      </w:pPr>
      <w:r>
        <w:rPr>
          <w:rFonts w:hint="eastAsia" w:ascii="仿宋" w:hAnsi="仿宋" w:eastAsia="仿宋" w:cs="仿宋"/>
          <w:sz w:val="32"/>
          <w:szCs w:val="32"/>
        </w:rPr>
        <w:t>按政府采购项目类型分为货物类采购、工程类采购和服务类采购三种类型。货物类采购预算</w:t>
      </w:r>
      <w:r>
        <w:rPr>
          <w:rFonts w:hint="eastAsia" w:ascii="仿宋" w:hAnsi="仿宋" w:eastAsia="仿宋" w:cs="仿宋"/>
          <w:sz w:val="32"/>
          <w:szCs w:val="32"/>
          <w:lang w:val="en-US"/>
        </w:rPr>
        <w:t>15,343.16</w:t>
      </w:r>
      <w:r>
        <w:rPr>
          <w:rFonts w:hint="eastAsia" w:ascii="仿宋" w:hAnsi="仿宋" w:eastAsia="仿宋" w:cs="仿宋"/>
          <w:sz w:val="32"/>
          <w:szCs w:val="32"/>
        </w:rPr>
        <w:t>万元，工程类采购预算</w:t>
      </w:r>
      <w:r>
        <w:rPr>
          <w:rFonts w:hint="eastAsia" w:ascii="仿宋" w:hAnsi="仿宋" w:eastAsia="仿宋" w:cs="仿宋"/>
          <w:sz w:val="32"/>
          <w:szCs w:val="32"/>
          <w:lang w:val="en-US"/>
        </w:rPr>
        <w:t>2,035.27</w:t>
      </w:r>
      <w:r>
        <w:rPr>
          <w:rFonts w:hint="eastAsia" w:ascii="仿宋" w:hAnsi="仿宋" w:eastAsia="仿宋" w:cs="仿宋"/>
          <w:sz w:val="32"/>
          <w:szCs w:val="32"/>
        </w:rPr>
        <w:t>万元，服务类采购预算</w:t>
      </w:r>
      <w:r>
        <w:rPr>
          <w:rFonts w:hint="eastAsia" w:ascii="仿宋" w:hAnsi="仿宋" w:eastAsia="仿宋" w:cs="仿宋"/>
          <w:sz w:val="32"/>
          <w:szCs w:val="32"/>
          <w:lang w:val="en-US"/>
        </w:rPr>
        <w:t>2,676.14</w:t>
      </w:r>
      <w:r>
        <w:rPr>
          <w:rFonts w:hint="eastAsia" w:ascii="仿宋" w:hAnsi="仿宋" w:eastAsia="仿宋" w:cs="仿宋"/>
          <w:sz w:val="32"/>
          <w:szCs w:val="32"/>
        </w:rPr>
        <w:t>万元。</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（三）国有资产的总体情况</w:t>
      </w:r>
    </w:p>
    <w:p>
      <w:pPr>
        <w:spacing w:line="560" w:lineRule="atLeast"/>
        <w:ind w:firstLine="640" w:firstLineChars="200"/>
        <w:jc w:val="both"/>
        <w:rPr>
          <w:rFonts w:ascii="仿宋" w:hAnsi="仿宋" w:eastAsia="仿宋" w:cs="仿宋"/>
          <w:sz w:val="32"/>
          <w:szCs w:val="32"/>
          <w:lang w:val="en-US"/>
        </w:rPr>
      </w:pPr>
      <w:r>
        <w:rPr>
          <w:rFonts w:hint="eastAsia" w:ascii="仿宋" w:hAnsi="仿宋" w:eastAsia="仿宋" w:cs="仿宋"/>
          <w:sz w:val="32"/>
          <w:szCs w:val="32"/>
          <w:lang w:val="en-US"/>
        </w:rPr>
        <w:t>2022年9月桂林电子科技大学车辆编制有33台，实有车辆27台，其中：厅级主要负责人实物保障用车2辆，一般业务用车20辆，特种专业技术用车4辆，离退休人员生活用车1辆；轿车15台，旅行越野车5台，经济性车7台。</w:t>
      </w:r>
    </w:p>
    <w:p>
      <w:pPr>
        <w:spacing w:line="560" w:lineRule="atLeast"/>
        <w:ind w:firstLine="640" w:firstLineChars="200"/>
        <w:jc w:val="both"/>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rPr>
        <w:t>2</w:t>
      </w:r>
      <w:r>
        <w:rPr>
          <w:rFonts w:hint="eastAsia" w:ascii="仿宋" w:hAnsi="仿宋" w:eastAsia="仿宋" w:cs="仿宋"/>
          <w:sz w:val="32"/>
          <w:szCs w:val="32"/>
        </w:rPr>
        <w:t>年新增"三项"资产预算</w:t>
      </w:r>
      <w:r>
        <w:rPr>
          <w:rFonts w:hint="eastAsia" w:ascii="仿宋" w:hAnsi="仿宋" w:eastAsia="仿宋" w:cs="仿宋"/>
          <w:sz w:val="32"/>
          <w:szCs w:val="32"/>
          <w:lang w:val="en-US"/>
        </w:rPr>
        <w:t>42</w:t>
      </w:r>
      <w:r>
        <w:rPr>
          <w:rFonts w:hint="eastAsia" w:ascii="仿宋" w:hAnsi="仿宋" w:eastAsia="仿宋" w:cs="仿宋"/>
          <w:sz w:val="32"/>
          <w:szCs w:val="32"/>
        </w:rPr>
        <w:t>万元，同比减少</w:t>
      </w:r>
      <w:r>
        <w:rPr>
          <w:rFonts w:hint="eastAsia" w:ascii="仿宋" w:hAnsi="仿宋" w:eastAsia="仿宋" w:cs="仿宋"/>
          <w:sz w:val="32"/>
          <w:szCs w:val="32"/>
          <w:lang w:val="en-US"/>
        </w:rPr>
        <w:t>863.2</w:t>
      </w:r>
      <w:r>
        <w:rPr>
          <w:rFonts w:hint="eastAsia" w:ascii="仿宋" w:hAnsi="仿宋" w:eastAsia="仿宋" w:cs="仿宋"/>
          <w:sz w:val="32"/>
          <w:szCs w:val="32"/>
        </w:rPr>
        <w:t>万元，下降</w:t>
      </w:r>
      <w:r>
        <w:rPr>
          <w:rFonts w:hint="eastAsia" w:ascii="仿宋" w:hAnsi="仿宋" w:eastAsia="仿宋" w:cs="仿宋"/>
          <w:sz w:val="32"/>
          <w:szCs w:val="32"/>
          <w:lang w:val="en-US"/>
        </w:rPr>
        <w:t>95.36</w:t>
      </w:r>
      <w:r>
        <w:rPr>
          <w:rFonts w:hint="eastAsia" w:ascii="仿宋" w:hAnsi="仿宋" w:eastAsia="仿宋" w:cs="仿宋"/>
          <w:sz w:val="32"/>
          <w:szCs w:val="32"/>
        </w:rPr>
        <w:t>%。</w:t>
      </w:r>
      <w:r>
        <w:rPr>
          <w:rFonts w:hint="eastAsia" w:ascii="仿宋" w:hAnsi="仿宋" w:eastAsia="仿宋" w:cs="仿宋"/>
          <w:sz w:val="32"/>
          <w:szCs w:val="32"/>
          <w:lang w:val="en-US"/>
        </w:rPr>
        <w:t>其中包含轿车2辆，</w:t>
      </w:r>
      <w:r>
        <w:rPr>
          <w:rFonts w:hint="eastAsia" w:ascii="仿宋" w:hAnsi="仿宋" w:eastAsia="仿宋" w:cs="仿宋"/>
          <w:sz w:val="32"/>
          <w:szCs w:val="32"/>
        </w:rPr>
        <w:t>共</w:t>
      </w:r>
      <w:r>
        <w:rPr>
          <w:rFonts w:hint="eastAsia" w:ascii="仿宋" w:hAnsi="仿宋" w:eastAsia="仿宋" w:cs="仿宋"/>
          <w:sz w:val="32"/>
          <w:szCs w:val="32"/>
          <w:lang w:val="en-US"/>
        </w:rPr>
        <w:t>计42</w:t>
      </w:r>
      <w:r>
        <w:rPr>
          <w:rFonts w:hint="eastAsia" w:ascii="仿宋" w:hAnsi="仿宋" w:eastAsia="仿宋" w:cs="仿宋"/>
          <w:sz w:val="32"/>
          <w:szCs w:val="32"/>
        </w:rPr>
        <w:t>万元,主要用于学校保障用车。</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（四）200万元以上项目预算绩效说明</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桂林电子科技大学2022年部门预算有15个200万元以上的项目列入绩效考核范围，涉及资金98,174.64万元，其中涉及一般公共预算拨款项目9个，涉及资金18,832.11万元。15个200万元以上的项目中，除2个项目涉及绩效工资没有公开外，其余13个项目全部予以公开，分别是：</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1.还本付息经费项目</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立项依据：我校花江校区和北海校区2个新校区的基本建设已初具规模，由于学校自有资金不足，校区基本建设资金主要依靠各商业银行的贷款以及政府债券的补充，</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可行性及必要性：有效缓解学校资金压力，降低学校的财务风险。</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支持范围及实施内容：该项目主要用于按合同约定偿还存量银行贷款本金和利息，以及依政府债券协议偿还专项债券利息，确保本金和利息的及时足额支付。</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项目年度绩效目标：依据银行贷款合同及政府债券协议约定，逐年偿还存量贷款本金、利息以及政府专项债券利息，确保还本付息的及时性，缓解学校资金压力。</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 项目中期绩效目标：确保贷款利息、本金足额按时偿还，降低学校融资成本，缓解学校资金压力。</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 项目资金来源：财政专户资金6956万元。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项目支出预算细化方案：2022年偿还贷款本金3156万元，偿还利息3800万元。</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2.学校安全稳定工作经费</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项目立项依据：本项目是自治区《广西壮族自治区突发事件应急体系建设“十三五”规划》中的重点建设项目，对我区校园安全提升有着重要帮助。</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及必要性：项目是在“广西校园安全预防及应急管理平台”一期工程的基础上进行拓展的，在建设队伍，建设规划，建设思路以及技术储备和推广过程中都比较成熟，是可行的。广西校园安全预防及应急管理平台一期的基础上，就校安平台的建设进行深化，尤其是校园危机事件的大数据分析，危机预防教育以及预警管理，自治区、市、县三级重大事件应急管理平台建设等，同时继续深入之前的平台功能和推广应用。从而完成广西校园安全应急管理体系的各个重要环节，并形成一个整体性的流程，更加有效的提升校园安全应急管理工作。</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支持范围：全区教育系统、大学、中小学、幼儿园</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实施内容：广西校园安全预防及应急综合管理平台运营维护、拓展开发建设；防溺水、交通、消防等安全知识宣传教育项目；全区高校突发事件应急演练观摩活动。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完成广西校园安全预防急应急管理平台第二期升级工作，并全面提升我区教育系统在预防溺水、交通、消防等安全知识宣传教育方面的工作效果，完成相应的全区高兴突发事件应急演练观摩活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初步预计三年内每年投入250万，总计750万进行相关项目建设。完成广西校园安全预防急应急管理平台第二期升级工作，并全面提升我区教育系统在预防溺水、交通、消防等安全知识宣传教育方面的工作效果，完成相应的全区高兴突发事件应急演练观摩活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项目资金来源：一般公共预算拨款（自治区本级）250万元。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平台开发、平台升级、技术维护、舆情监控、视频制作费用、设计费、专家咨询等150万，资料印刷、宣传、邮件快递、办公用品、耗材等费用10万，信舆情信息技术服务费、电信服务费、数据采集费、舆情监控服务等70万，校园安全墙推广及应用费用20万。</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3.科研项目支出（1）项目</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立项依据：近年来学校科研经费主要来源于科技部、教育部、国家自然科学基金委、自治区科技厅等竞争性科研项目和企事业单位委托科研项目。目前，学校共承担了国家重大科学仪器专项、国家重点研发计划、国家自然科学基金重点项目、国家社科基金项目、国防预先研究项目、国防关键技术研究项目、广西创新驱动重大专项、企事业委托项目等在研项目600余项，承建了国家地方联合工程研究中心、教育部重点实验室、自治区重点实验室、自治区工程技术研究中心等平台30多个。</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可行性及必要性：该项目主要用于科研项目、科研平台的全过程管理、科技成果转移转化管理等</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及实施内容：科研项目、科研平台的全过程管理、科技成果转移转化管理过程中需要购买科研设备和图书资料、专用软件等，外出调研座谈科研差旅费、开展专家咨询论证会、测试化验、出版著作论文、申请专利等。</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一是经费支出合理高效，科研人员工作积极性高，顺利完成项目考核指标，产出高水平成果，为地方发展培育新动能；二是科研平台在相关领域达到区内一流、国内领先水平；三是学校总体科研水平不断提升，到2023年，科研经费到位约1.9亿（不含教育厅财政拨款），国家级项目近100项，助力相关学科达到国内前30％。</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项目中期绩效目标：学校总体科研水平不断提升，争取国家级项目突破100项，科研平台在相关领域达到区内一流、国内领先水平。</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项目资金来源：单位自有资金28,267万元，其中上年结转金额20,800万元。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项目支出预算细化方案：项目支出主要分布在科研设备费、科研差旅费、劳务费、专家咨询费、出版/文献/信息传播/知识产权事务费、材料费、图书资料费等，其中印刷费20万元，咨询费28万元，差旅费 950万元，维修（护）费90万元，专用材料费1,560万元，劳务费1,252.36万元，委托业务费62万元，其他交通费69万元，税金及附加费用115万元，其他商品和服务支出14,923.78万元，其他资本性支出4,868.5万元，专用设备购置4,328.35万元。</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4.本科高校生均拨款经费（中央资金）</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立项依据：根据《关于印发广西高等学校财政投入机制改革实施方案（试行）的通知》（桂财教〔2016〕62号）</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和必要性：为学校教学、科研提供完备的息资源保障，建设突出我校学科特色的信息服务平台；主动适应国家战略、行业与地方经济社会发展需要，学科专业机构动态调整优化。建设技术先进、共享、集约、高效的信息化基础平台，力争达到“国内知名、广西第一”，建智慧校园样板、创产学研合作品牌、立自主安全可控标杆。</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和实施内容：主要支持学校本科教学建设、师资建设与人才引进、学科建设、实验平台、维修、信息化建设等方面，以提升学校教学质量，维持本科教学日常工作的开展，保障学校年度教学任务和目标的实现。</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引进博士、教授50人；年培养学生数15,000人；支持专业及专业群建设8个；保证教学和教辅单位正常运行个数38个；建设或改善教室、实验室、创新基地等数量为8个以上，保障行政及教学任务的正常开展。</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主要支持学校本科教学建设、师资建设与人才引进、学科建设、实验平台、维修等方面，以提升学校教学质量，维持本科教学日常工作的开展，保障学校年度教学任务和目标的实现。；形成规模相当、层次合理、结构优化的高水平师资队伍，为高层次人才安排安家费、科研启动费、科研平台建设费等充足的资金支持；为学校教学、科研提供完备的息资源保障，建设突出我校学科特色的信息服务平台；主动适应国家战略、行业与地方经济社会发展需要，学科专业机构动态调整优化。</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项目资金来源：2022年一般公共预算拨款（中央补助）安排资金8,761万元。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项目支出预算细化方案：人才引进2,300万元；维修费1,500万元；学科建设及教学设备2,600万元；日常公用支出1,075万元；图书资料1,286万元。</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5.广西政府东盟国家留学生奖学金项目</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立项依据：我校来华留学生人数逐年增加，根据“关于印发《广西壮族自治区教育厅扩大高校外国留学生招生数量实施方案》（桂教国交〔2009〕330号）”的通知要求，我校制定了接收外国留学生的发展规划，我校留学生生源构成主要来自于东盟国家，目前申请东盟国家奖学金人数逐年增长。</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和必要性：评选专项东盟国家优秀留学生奖学金项目。严格按照区财政厅下发的《关于调整2016年广西政府东盟国家留学生奖学金专项经费的函》《广西政府东盟国家留学生奖学金管理办法》的文件精神，专款专用于东盟奖学金生的学习和管理，已成立东盟奖学金评审小组，按照公平、公证的原则，由学校奖学金小组讨论提出评审结果并报分管校长批准。支持范围：拥有东盟国家国籍的学生的招生及培养。</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支持范围：拥有东盟国家国籍的学生的招生及培养</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9月完成东盟国家留学生奖学金名额的招生录取工作，10月完成东盟国家留学生奖学金新生的入学和注册工作，10月完成专项优秀东盟国家留学生奖学金项目的评选和发放工作，12月完成当年区财政厅下拨的广西政府东盟国家奖学金专项经费的发放使用工作。</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项目年度绩效目标：严格按照并完成当年区财政厅下拨的广西政府东盟国家奖学金专项经费的发放使用工作；严格贯彻落实广西壮族自治区教育厅关于东盟国家留学生奖学金招生工作的相关文件通知。</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加大东盟奖学金的招生宣传力度，为学校招收更为优质的东盟奖学金生源，按照广西区教育厅关于东盟奖学金相关招生文件的指示做好招生工作，并做好东盟奖学金专项经费的发放与使用工作。</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项目资金来源：一般公共预算拨款（自治区本级）安排资金230.67万元。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项目支出预算细化方案：助学金230.67万元。</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6.广西高校思想政治工作质量提升工程经费</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立项依据：根据自治区党委教育工委、自治区教育厅继续提升我区高校思想政治教育工作质量的相关文件。                                            </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可行性及必要性：该项目为持续性年度项目，在各校申报的基础上经过专家组评审教育厅综合审核确定，具有较强的可行性，在新时代提升我区高校思政教育工作质量，该项目具有重要的推进意义。                </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支持范围：支持桂林电子科技大学高校思想政治工作。                        </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实施内容：2022年广西高校思政工作质量提升工程11个项目相关内容。 具体包括：建设广西高校校园网站联盟；协助开展全区高校思政课网络备课平台和资源库建设；协助培育一批思政课教育教学改革成果；开展学校思想政治理论课虚拟仿真教学中心建设；牵头开展所在群思政课集群结对共建工作；开展本校马克思主义学院建设，开展新时代马克思主义学院育人体系提升工程建设；提升本校思政课教学水平，开展广西高校易班发展研究和指导工作；开展1期全区性质的易班特色活动；建设全区高校网络思想政治工作中心，协助开展1期全区性质的网络思想政治教育活动；建设全国高校舆情信息中心广西分中心，维护广西高校舆情信息平台；开展本校网络思想政治工作，基于高校网络思想政治视域的融媒体中心建设。</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项目资金来源：一般公共预算拨款（自治区本级）232万元。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2022年广西高校思政工作质量提升工程项目相关内容具体包括：建设原创文化精品项目舞蹈《湘江红》；协助开展1期思政课教师讲“党的十九届六中全会精神”系列微课评选活动；开展学校思想政治理论课虚拟仿真教学中心建设；牵头开展所在群思政课集群结对共建工作；开展桂林电子科技大学马克思主义学院“六三一四”建设工程；建设全区高校网络思想政治工作中心；协助开展1期全区高校网络思政骨干教师培训班暨易班达人秀活动；开展1次全区高校易班建设状况调研；建设全国高校舆情信息中心广西分中心，维护广西高校舆情信息平台；牵头负责所在群心理健康教育集群结对共建工作；开展工科高校“互联网+心理育人”实践项目；开展“一中心、两融合、三坚持”创新创业实践育人模式构建；广西高校思想政治教育杰出人才支持计划项目。</w:t>
      </w:r>
    </w:p>
    <w:p>
      <w:pPr>
        <w:spacing w:line="560" w:lineRule="atLeast"/>
        <w:ind w:firstLine="643" w:firstLineChars="200"/>
        <w:rPr>
          <w:rFonts w:ascii="仿宋" w:hAnsi="仿宋" w:eastAsia="仿宋" w:cs="仿宋"/>
          <w:sz w:val="32"/>
          <w:szCs w:val="32"/>
          <w:lang w:val="en-US"/>
        </w:rPr>
      </w:pPr>
      <w:r>
        <w:rPr>
          <w:rFonts w:hint="eastAsia" w:ascii="仿宋" w:hAnsi="仿宋" w:eastAsia="仿宋" w:cs="仿宋"/>
          <w:b/>
          <w:bCs/>
          <w:sz w:val="32"/>
          <w:szCs w:val="32"/>
          <w:lang w:val="en-US"/>
        </w:rPr>
        <w:t>7.研究生学业奖学金</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立项依据：结合国家和自治区研究生奖助政策，我校实行奖、助、贷、补等为一体的研究生资助体系，研究生学业奖学金是该体系的一个重要组成部分，是为激励研究生勤奋学习、潜心科研、勇于创新、积极进取，在全面实行研究生教育收费制度的情况下更好地支持研究生顺利完成学业而设立的。</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可行性：根据国家和自治区等各级相关文件精神，我校立足实际出台了一系列研究生资助政策文件，并专门设置研究生学业奖学金财政经费专项指标，做到专款专用，确保将奖励、资助政策执行到位。</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必要性：我校已经建立并不断完善研究生资助政策体系，设立研究生学业奖学金项目更好地落实资助政策，不断提高研究生资助水平是非常有必要的，切实发挥研究生资助的政策引导和激励作用。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支持范围：全日制在校博士、硕士研究生</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用于根据当年评选结果，发放全日制在校博士、硕士研究生学业奖学金项目年度绩效目标：严格执行教育部、区教育厅和学校研究生奖助相关文件精神，确保获得奖励资助的学生100%符合奖励资助条件，无遗漏、无差错，每年在规定时间内完成评审并将当年研究生学业奖学金一次性发放到位。</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项目年度绩效目标：完善研究生教育投入机制，逐步提高研究生学业奖学金的覆盖面，改善研究生学习、科研和生活条件，提高研究生培养质量。 严格执行教育部、区教育厅和学校研究生奖助相关文件精神，确保获得奖励资助的学生100％符合奖励资助条件，无遗漏、无差错，每年在规定时间内完成评审并将当年研究生学业奖学金一次性发放到位。</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项目中期绩效目标：完善研究生教育投入机制，逐步提高研究生学业奖学金的覆盖面，改善研究生学习、科研和生活条件，提高研究生培养质量。</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项目资金来源：2022年一般公共预算拨款（自治区本级）安排资金808.16万元。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项目支出预算细化方案：安排助学金808.16万元，博士：10,000元/人； 一年级硕士：一等奖10,000元，占15%；二等奖6,000元，占25%；三等奖2,000元，占60%； 二、三年级硕士：一等奖10,000元，占15%；二等奖6,000元，占25%；三等奖3,000元，占40%。</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8.物业管理费项目</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立项依据:本项目为学校物业日常管理项目及安保服务，根据学校第三次党代会提出的“今后一段时期的发展战略和主要任务”关于校园环境建设相关要求而设立。</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可行性及必要性：保证学校教学生活秩序的正常开展、提升校园绿化品质，保障学校的长治久安。</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及实施内容：学校逐步实施物业服务外包，支持学校金鸡岭校区、六合路校区、羊角山、西区南苑等区域的卫生保洁服务支出，包括学校物业日常维持及外包管理、垃圾清运、绿化养护、零星绿化工程等。保证学校教学生活秩序的正常开展、提升校园绿化品质。另外，安保人员是校园治安巡逻守护的主要力量，人防建设主要建立健全学校内部安全保卫组织和制度，落实安全保卫责任，聘请专业保安人员，组织校园治安联防队、应急队等。目标是为了保障学校的长治久安。</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一是推进“美丽校园”建设，实施校园绿化景观工程，提升景观鲜明度，进一步优化育人环境，努力打造“洁、净、美、适”的校园环境；逐步实现“处处是绿、步步见景、四季花香、山水相融”的和谐美丽园林式校园的绿化目标；校园环境得到校内师生和校外群众的认可。二是落实安全保卫，努力打造平安校园，和谐校园，进一步提升服水平、服务质量，保障校园安全稳定和维护交通秩序，加强校园治安联防和应急处置能力。</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推进“美丽校园”建设，实施校园绿化景观工程，提升景观鲜明度，进一步优化育人环境，努力打造“洁、净、美、适”的校园环境；逐步实现“处处是绿、步步见景、四季花香、山水相融”的和谐美丽园林式校园的绿化目标；校园环境得到校内师生和校外群众的认可。保障学校的长治久安。</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项目资金来源：财政专户资金1,430.14万元。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金鸡岭校区等物业外包费138.3万元；物业日常工作开支、物业消耗用品采购、垃圾清运费等220万元；绿化日常养护费62万元;校园绿化环境提升改造150万元;绿化消耗用品采购65万元；园林病虫害及公共区域白蚁防治20万，保安人员201人按照3,200元/人/月计算，需用资金771.84万元。</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9. 示范性现代产业学院经费</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立项依据：根据学校发展规划，结合教育厅《关于推进广西普通本科高校现代产业学院建设工作的实施方案》文件精神，学校扎实推进新工科建设，培养适应行业与地方需求的高素质应用型人才，全面提高我校人才培养能力水平。</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可行性及必要性：我校已获批4个广西普通本科高校示范性现代产业学院，为主动适应国家战略需求，继续深化教育教学改革，全面提高新时代人才培养质量，需要对获批的4个区级产业学院给予支持建设。</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支持范围：获批建设的4个广西普通本科高校示范性现代产业学院。</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实施内容：按教育厅的要求建设示范性现代产业学院，包括构建多方协同育人平台、产学研合作平台、专业建设、师资队伍建设等。</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项目年度绩效目标：支持示范性现代产业学院建设，推进新工科、新文科建设，推动学校全面提升人才培养质量。</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项目中期绩效目标：支持示范性现代产业学院建设，推进新工科、新文科建设，推动学校全面提升人才培养质量。</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项目资金来源：一般公共预算（中央资金）1,140万元。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项目支出预算细化方案：每个获批的广西普通本科高校示范性现代产业学院，每个200-400万元不等.</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10.本科高校生均定额拨款(自治区资金)</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项目立项依据:根据我校2022年年拟计划的公用房、住宅维修（装修、改造）项目（含常规项目）及2021年零星工程招标定额进行估算，同时结合以往年度该专项使用情况作为参考。 </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及必要性：为保证我校教学工作正常开展及给学生日常生活创造良好环境，各单位上报的维修项目，经后勤处、基建处、国资处、财务处、审计处充分论证可实施项目，需在本年度完成；随着学校的基础设施日渐老化，面临部分房屋的存在安全隐患。且各学院学科专业的增加或改变，房屋使用场地也随之用途而改变， 通过本项目的建设，为教职工在学校的教学及学生生活创造良好的条件。</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支持范围：全校公共区域房屋修缮和基础设施改造；</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主要包括金鸡岭校区、花江校区、西校区学生公寓维修改造、西校区科技园、教学楼维修改造，以及各校区的办公用房、实验室调整等专项公用房改造；未出售的人才引进周转房房屋内部维修费用；高端人才公寓住宅装修费用等。</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项目年度绩效目标：力争完成本年度上报的所有改造项目，全校师生对学校维修服务质量满意度大幅提升，各项基础设施运行条件良好，为满足学校教学发展提供有力的后勤保障。</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项目中期绩效目标：力争完成本年度上报的所有改造项目，全校师生对学校维修服务质量满意度大幅提升，各项基础设施运行条件良好，为满足学校教学发展提供有力的后勤保障。</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项目资金来源：一般公共预算拨款（自治区本级）155.27万元。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本科高校生均定额拨款(自治区资金)-维修费主要包括金鸡岭校区、花江校区、西校区学生公寓维修改造、西校区科技园、教学楼维修改造，以及各校区的办公用房、实验室调整等专项公用房改造；未出售的人才引进周转房房屋内部维修费用；高端人才公寓住宅装修等。</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11.研究生奖助学金</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立项依据：结合国家和自治区研究生奖助政策，我校实行奖、助、贷、补等为一体的研究生资助体系，主要内容包括研究生国家助学金、研究生国家奖学金、研究生学业奖学金、研究生“三助一辅”岗位资助、临时困难补助和优秀研究生奖励等，其中研究生国家助学金、国家奖学金和一部分学业奖学金由国家和自治区财政拨款支持，部分学业奖学金、“三助一辅”岗位津贴、临时困难补助和优秀研究生奖励由学校自筹经费支出。</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可行性：根据国家和自治区等各级相关文件精神，我校立足实际出台了一系列研究生资助政策文件，并专门设置研究生奖助学金专项经费指标，做到专款专用，确保将奖励、资助政策执行到位。</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必要性：我校已经建立并不断完善研究生资助政策体系，设立研究生奖助学金校内自筹项目以更好地落实各项资助政策，不断提高研究生资助水平是非常有必要的，切实发挥研究生资助的政策引导和激励作用。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支持范围：全日制在校博士、硕士研究生（不含MBA）</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实施内容：研究生国家奖学金、国家助学金。</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项目年度绩效目标：严格执行教育部、区教育厅和学校研究生奖助相关文件精神，确保获得资助的学生100%符合资助条件，无遗漏、无差错，每年分10个月按月发放研究生国家助学金。</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项目中期绩效目标：完善研究生教育投入机制，逐步提高研究生奖助的覆盖面，改善研究生学习、科研和生活条件，提高研究生培养质量。</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项目主要内容：用于发放全日制在校博士、硕士研究生国家助学金（有固定工资收入的除外）。</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项目资金来源：一般共预算拨款（自治区本级）安排资金456.16万元，一般共预算拨款（中央）安排资金1,958.72万元。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根据通知要求分别评选出相应名额研究生国家奖学金（博士3万／硕士2万）、研究生国家助学金（博士1.3万／硕士0.6万）给予奖励与资助。严格执行教育部、自治区教育厅和学校研究生奖助相关文件精神，确保获得奖励资助的学生100％符合奖励资助条件，无遗漏、无差错，在规定时间内将奖助金一次性发放至获奖学生个人银行卡。</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12.本专科生国家奖助学金</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项目立项依据：根据《广西壮族自治区人民政府关于进一步完善高等学校家庭经济困难学生资助政策体系的实施意见》（桂政发〔2017〕49号），《广西壮族自治区财政厅等五部门关于印发广西学生资助资金管理办法的通知》（桂财规〔2019〕3号）文件规定。    </w:t>
      </w:r>
      <w:r>
        <w:rPr>
          <w:rFonts w:hint="eastAsia" w:ascii="仿宋" w:hAnsi="仿宋" w:eastAsia="仿宋" w:cs="仿宋"/>
          <w:sz w:val="32"/>
          <w:szCs w:val="32"/>
          <w:lang w:val="en-US"/>
        </w:rPr>
        <w:tab/>
      </w:r>
      <w:r>
        <w:rPr>
          <w:rFonts w:hint="eastAsia" w:ascii="仿宋" w:hAnsi="仿宋" w:eastAsia="仿宋" w:cs="仿宋"/>
          <w:sz w:val="32"/>
          <w:szCs w:val="32"/>
          <w:lang w:val="en-US"/>
        </w:rPr>
        <w:tab/>
      </w:r>
      <w:r>
        <w:rPr>
          <w:rFonts w:hint="eastAsia" w:ascii="仿宋" w:hAnsi="仿宋" w:eastAsia="仿宋" w:cs="仿宋"/>
          <w:sz w:val="32"/>
          <w:szCs w:val="32"/>
          <w:lang w:val="en-US"/>
        </w:rPr>
        <w:tab/>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可行性：本专科国家奖助学金项目是为了激励学生勤奋学习、自立自强，促进学生全面成长成才，建立的较为完善的资助育人体系，对高校全日制本专科（含高职、第二学士学位）学生中符合要求的学生予以奖励资助。 </w:t>
      </w:r>
      <w:r>
        <w:rPr>
          <w:rFonts w:hint="eastAsia" w:ascii="仿宋" w:hAnsi="仿宋" w:eastAsia="仿宋" w:cs="仿宋"/>
          <w:sz w:val="32"/>
          <w:szCs w:val="32"/>
          <w:lang w:val="en-US"/>
        </w:rPr>
        <w:tab/>
      </w:r>
      <w:r>
        <w:rPr>
          <w:rFonts w:hint="eastAsia" w:ascii="仿宋" w:hAnsi="仿宋" w:eastAsia="仿宋" w:cs="仿宋"/>
          <w:sz w:val="32"/>
          <w:szCs w:val="32"/>
          <w:lang w:val="en-US"/>
        </w:rPr>
        <w:tab/>
      </w:r>
      <w:r>
        <w:rPr>
          <w:rFonts w:hint="eastAsia" w:ascii="仿宋" w:hAnsi="仿宋" w:eastAsia="仿宋" w:cs="仿宋"/>
          <w:sz w:val="32"/>
          <w:szCs w:val="32"/>
          <w:lang w:val="en-US"/>
        </w:rPr>
        <w:tab/>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必要性：体现党和政府对高校家庭经济困难学生的关怀，帮助他们顺利完成学业，激励学生勤奋学习、自立自强，促进学生全面成长成才。</w:t>
      </w:r>
      <w:r>
        <w:rPr>
          <w:rFonts w:hint="eastAsia" w:ascii="仿宋" w:hAnsi="仿宋" w:eastAsia="仿宋" w:cs="仿宋"/>
          <w:sz w:val="32"/>
          <w:szCs w:val="32"/>
          <w:lang w:val="en-US"/>
        </w:rPr>
        <w:tab/>
      </w:r>
      <w:r>
        <w:rPr>
          <w:rFonts w:hint="eastAsia" w:ascii="仿宋" w:hAnsi="仿宋" w:eastAsia="仿宋" w:cs="仿宋"/>
          <w:sz w:val="32"/>
          <w:szCs w:val="32"/>
          <w:lang w:val="en-US"/>
        </w:rPr>
        <w:tab/>
      </w:r>
      <w:r>
        <w:rPr>
          <w:rFonts w:hint="eastAsia" w:ascii="仿宋" w:hAnsi="仿宋" w:eastAsia="仿宋" w:cs="仿宋"/>
          <w:sz w:val="32"/>
          <w:szCs w:val="32"/>
          <w:lang w:val="en-US"/>
        </w:rPr>
        <w:tab/>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 xml:space="preserve">支持范围：高校全日制本专科（含高职、第二学士学位）学生中符合要求的学生。       </w:t>
      </w:r>
      <w:r>
        <w:rPr>
          <w:rFonts w:hint="eastAsia" w:ascii="仿宋" w:hAnsi="仿宋" w:eastAsia="仿宋" w:cs="仿宋"/>
          <w:sz w:val="32"/>
          <w:szCs w:val="32"/>
          <w:lang w:val="en-US"/>
        </w:rPr>
        <w:tab/>
      </w:r>
      <w:r>
        <w:rPr>
          <w:rFonts w:hint="eastAsia" w:ascii="仿宋" w:hAnsi="仿宋" w:eastAsia="仿宋" w:cs="仿宋"/>
          <w:sz w:val="32"/>
          <w:szCs w:val="32"/>
          <w:lang w:val="en-US"/>
        </w:rPr>
        <w:tab/>
      </w:r>
      <w:r>
        <w:rPr>
          <w:rFonts w:hint="eastAsia" w:ascii="仿宋" w:hAnsi="仿宋" w:eastAsia="仿宋" w:cs="仿宋"/>
          <w:sz w:val="32"/>
          <w:szCs w:val="32"/>
          <w:lang w:val="en-US"/>
        </w:rPr>
        <w:tab/>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实施内容：通过对符合要求且品学兼优的学生予以奖励资助，其中国家奖学金的奖励标准为8,000元/年/人，根据中央核定的奖励资助人数确定；国家励志奖学金的奖励资助标准为5,000元/年/人，根据中央核定的奖励资助人数确定；自治区人民政府奖学金的奖励资助标准为5,000元/年/人，根据自治区核定的奖励资助人数确定；国家助学金的资助标准为一等4,300元/年/人、二等2,300元/年/人，根据全校家庭经济困难学生、中央、自治区财政等情况确定资助人数。</w:t>
      </w:r>
      <w:r>
        <w:rPr>
          <w:rFonts w:hint="eastAsia" w:ascii="仿宋" w:hAnsi="仿宋" w:eastAsia="仿宋" w:cs="仿宋"/>
          <w:sz w:val="32"/>
          <w:szCs w:val="32"/>
          <w:lang w:val="en-US"/>
        </w:rPr>
        <w:tab/>
      </w:r>
      <w:r>
        <w:rPr>
          <w:rFonts w:hint="eastAsia" w:ascii="仿宋" w:hAnsi="仿宋" w:eastAsia="仿宋" w:cs="仿宋"/>
          <w:sz w:val="32"/>
          <w:szCs w:val="32"/>
          <w:lang w:val="en-US"/>
        </w:rPr>
        <w:t xml:space="preserve"> </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根据资金额度，按文件规定评选出相应名额国家奖学金、国家励志奖学金、国家助学金获奖学生，获奖学生分别按照每学年8,000元、5,000元及一等4,300元、二等2,300元发放奖助金，保证获奖学生100％符合获奖条件。通过这些举措实现教育优化和教育公平，使优秀学生榜样化，促进学生成才。</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中期绩效目标：每年根据资金额度，足额，按文件规定评选出相应名额国家奖学金、国家励志奖学金、国家助学金获奖学生，按相应资助标准发放资助金，保证获奖学生100％符合获奖条件。通过对家庭经济困难学生予以奖励资助，实现教育优化和教育公平，使家庭经济困难学生自立自强，促进学生成长成才，有利于加快我区高等教育发展，促进劳动者素质提高，进一步推进科教兴桂战略和人才强桂战略实施。</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项目资金来源：一般公共预算拨款（自治区本级）安排资金516.83万元，一般公共预算拨款（中央资金）安排资金2,928.57万元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通过对符合申请条件的学生予以资助，国家奖学金的奖励标准为8,000元/年/人，根据中央核定的奖励资助人数确定；国家励志奖学金的奖励资助标准为5,000元/年/人，根据中央核定的奖励资助人数确定；自治区人民政府奖学金的奖励资助标准为5,000元/年/人，根据自治区核定的奖励资助人数确定；国家助学金的资助标准为一等4,300元/年/人、二等2,300元/年/人，根据全校家庭经济困难学生、中央、自治区财政等情况确定资助人数。</w:t>
      </w:r>
    </w:p>
    <w:p>
      <w:pPr>
        <w:spacing w:line="560" w:lineRule="atLeast"/>
        <w:ind w:firstLine="643" w:firstLineChars="200"/>
        <w:rPr>
          <w:rFonts w:ascii="仿宋" w:hAnsi="仿宋" w:eastAsia="仿宋" w:cs="仿宋"/>
          <w:b/>
          <w:bCs/>
          <w:sz w:val="32"/>
          <w:szCs w:val="32"/>
          <w:lang w:val="en-US"/>
        </w:rPr>
      </w:pPr>
      <w:r>
        <w:rPr>
          <w:rFonts w:hint="eastAsia" w:ascii="仿宋" w:hAnsi="仿宋" w:eastAsia="仿宋" w:cs="仿宋"/>
          <w:b/>
          <w:bCs/>
          <w:sz w:val="32"/>
          <w:szCs w:val="32"/>
          <w:lang w:val="en-US"/>
        </w:rPr>
        <w:t>13.广西高校科技创新和服务能力提升工程经费</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立项依据：根据上级文件，发展广西哲学社会科学，提高我校哲学社会科学研究质量和服务能力。</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可行性及必要性：学校以新一代信息技术、新材料、智能制造等领域技术攻关为重点，以高端人才和学术团队建设为支撑，以科技体制机制创新为保障，全方位加强优势科技资源整合，深层次优化科技创新空间布局，着力强化科技创新人才培养，加强重大重点科技项目攻关，为完成年度绩效目标可行性提供保障；进一步提升我校科技创新能力，促进科技与经济社会发展紧密结合，繁荣发展广西哲学社会科学，提高我校哲学社会科学研究质量和服务能力。</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支持范围：电子信息材料与器件教育部工程研究中心；认知无线电与信息处理省部共建教育部重点实验室；花江慧谷科技成果转化基地；新能源材料结构与性能协同创新中心；广西教育大数据应用与网络安全协同创新中心；物联网技术与产业化推进协同创新中心；北斗位置服务与边海防安全应用协同创新中心、卫星导航定位与位置服务国家地方联合工程研究中心；人文社会科学重点研究基地——政府数字传播与文化软实力研究中心。</w:t>
      </w:r>
      <w:r>
        <w:rPr>
          <w:rFonts w:hint="eastAsia" w:ascii="仿宋" w:hAnsi="仿宋" w:eastAsia="仿宋" w:cs="仿宋"/>
          <w:sz w:val="32"/>
          <w:szCs w:val="32"/>
          <w:lang w:val="en-US"/>
        </w:rPr>
        <w:tab/>
      </w:r>
      <w:r>
        <w:rPr>
          <w:rFonts w:hint="eastAsia" w:ascii="仿宋" w:hAnsi="仿宋" w:eastAsia="仿宋" w:cs="仿宋"/>
          <w:sz w:val="32"/>
          <w:szCs w:val="32"/>
          <w:lang w:val="en-US"/>
        </w:rPr>
        <w:tab/>
      </w:r>
      <w:r>
        <w:rPr>
          <w:rFonts w:hint="eastAsia" w:ascii="仿宋" w:hAnsi="仿宋" w:eastAsia="仿宋" w:cs="仿宋"/>
          <w:sz w:val="32"/>
          <w:szCs w:val="32"/>
          <w:lang w:val="en-US"/>
        </w:rPr>
        <w:t>实施内容：共资助9个科技创新平台，主要涉及大数据、物联网、北斗导航、新能源材料等领域，通过引育高层次人才和团队，以期在优势领域产出系列高质量科技成果，促进成果转化数量和质量，以支撑学校“双一流”建设、促进产教融合。</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年度绩效目标：计划支持6个学科建设，支持科研基地9个，支持创新团队数量18个，承担省部级以上项目150项以上，发表高水平论文260篇以上，申请和授权专利80项以上，引进包含柔性引进高层次人才6人，获得省部级以上奖项10项以上，科技成果转化45项以上，成果转化交易额2,500万以上。积极举办和参加国内国际学术会议，计划开展学术交流60人次。</w:t>
      </w:r>
      <w:r>
        <w:rPr>
          <w:rFonts w:hint="eastAsia" w:ascii="仿宋" w:hAnsi="仿宋" w:eastAsia="仿宋" w:cs="仿宋"/>
          <w:sz w:val="32"/>
          <w:szCs w:val="32"/>
          <w:lang w:val="en-US"/>
        </w:rPr>
        <w:tab/>
      </w:r>
      <w:r>
        <w:rPr>
          <w:rFonts w:hint="eastAsia" w:ascii="仿宋" w:hAnsi="仿宋" w:eastAsia="仿宋" w:cs="仿宋"/>
          <w:sz w:val="32"/>
          <w:szCs w:val="32"/>
          <w:lang w:val="en-US"/>
        </w:rPr>
        <w:tab/>
      </w:r>
      <w:r>
        <w:rPr>
          <w:rFonts w:hint="eastAsia" w:ascii="仿宋" w:hAnsi="仿宋" w:eastAsia="仿宋" w:cs="仿宋"/>
          <w:sz w:val="32"/>
          <w:szCs w:val="32"/>
          <w:lang w:val="en-US"/>
        </w:rPr>
        <w:tab/>
      </w:r>
      <w:r>
        <w:rPr>
          <w:rFonts w:hint="eastAsia" w:ascii="仿宋" w:hAnsi="仿宋" w:eastAsia="仿宋" w:cs="仿宋"/>
          <w:sz w:val="32"/>
          <w:szCs w:val="32"/>
          <w:lang w:val="en-US"/>
        </w:rPr>
        <w:t>项目中期绩效目标：按照教育部要求支持省部共建教育部重点实验室等省部级高水平科技创新平台，发挥科技扶贫作用，推进科教结合协同创新，促进成果转化，支撑双一流建设，实施广西高校哲学社会科学繁荣计划。</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项目资金来源：一般公共预算拨款(自治区本级）1,550万元。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项目支出预算细化方案：认知无线电与信息处理教育部重点实验室100万元，电子信息材料与器件教育部工程研究中心400万元，花江慧谷科技成果转化基地200万元，新能源材料结构与性能协同创新中心200万元，广西教育大数据应用与网络安全协同创新中心150万元，物联网技术与产业化推进协同创新中心100万元，北斗位置服务与边海防安全应用协究中心200万元，政府数字传播与文化软实力研究中心200万元。</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以上项目年度绩效目标表详见附件</w:t>
      </w:r>
      <w:r>
        <w:fldChar w:fldCharType="begin"/>
      </w:r>
      <w:r>
        <w:instrText xml:space="preserve"> HYPERLINK "file:///C:\\Users\\HP\\Documents\\WeChat%20Files\\amy-joseph0303\\FileStorage\\File\\2021-02\\桂林电子科技大学2021年预算公开报表.xlsx" </w:instrText>
      </w:r>
      <w:r>
        <w:fldChar w:fldCharType="separate"/>
      </w:r>
      <w:r>
        <w:rPr>
          <w:rStyle w:val="11"/>
          <w:rFonts w:hint="eastAsia" w:ascii="仿宋" w:hAnsi="仿宋" w:eastAsia="仿宋" w:cs="仿宋"/>
          <w:sz w:val="32"/>
          <w:szCs w:val="32"/>
          <w:lang w:val="en-US"/>
        </w:rPr>
        <w:t>桂林电子科技大学2022年部门预算公开报表</w:t>
      </w:r>
      <w:r>
        <w:rPr>
          <w:rStyle w:val="11"/>
          <w:rFonts w:hint="eastAsia" w:ascii="仿宋" w:hAnsi="仿宋" w:eastAsia="仿宋" w:cs="仿宋"/>
          <w:sz w:val="32"/>
          <w:szCs w:val="32"/>
          <w:lang w:val="en-US"/>
        </w:rPr>
        <w:fldChar w:fldCharType="end"/>
      </w:r>
      <w:r>
        <w:rPr>
          <w:rFonts w:hint="eastAsia" w:ascii="仿宋" w:hAnsi="仿宋" w:eastAsia="仿宋" w:cs="仿宋"/>
          <w:sz w:val="32"/>
          <w:szCs w:val="32"/>
          <w:lang w:val="en-US"/>
        </w:rPr>
        <w:t>中预算公开09-1至09-13表。</w:t>
      </w:r>
    </w:p>
    <w:p>
      <w:pPr>
        <w:spacing w:line="560" w:lineRule="atLeast"/>
        <w:ind w:firstLine="640" w:firstLineChars="200"/>
        <w:rPr>
          <w:rFonts w:ascii="仿宋" w:hAnsi="仿宋" w:eastAsia="仿宋" w:cs="仿宋"/>
          <w:sz w:val="32"/>
          <w:szCs w:val="32"/>
          <w:lang w:val="en-US"/>
        </w:rPr>
      </w:pPr>
    </w:p>
    <w:p>
      <w:pPr>
        <w:spacing w:line="560" w:lineRule="atLeast"/>
        <w:jc w:val="center"/>
        <w:rPr>
          <w:rFonts w:ascii="黑体" w:hAnsi="黑体" w:eastAsia="黑体" w:cs="黑体"/>
          <w:sz w:val="32"/>
          <w:szCs w:val="32"/>
          <w:lang w:val="en-US"/>
        </w:rPr>
      </w:pPr>
      <w:r>
        <w:rPr>
          <w:rFonts w:hint="eastAsia" w:ascii="黑体" w:hAnsi="黑体" w:eastAsia="黑体" w:cs="黑体"/>
          <w:sz w:val="32"/>
          <w:szCs w:val="32"/>
          <w:lang w:val="en-US"/>
        </w:rPr>
        <w:t>第三部分：名词解释</w:t>
      </w:r>
    </w:p>
    <w:p>
      <w:pPr>
        <w:numPr>
          <w:ilvl w:val="0"/>
          <w:numId w:val="2"/>
        </w:numPr>
        <w:spacing w:line="560" w:lineRule="atLeast"/>
        <w:ind w:left="559" w:leftChars="254"/>
        <w:rPr>
          <w:rFonts w:ascii="仿宋" w:hAnsi="仿宋" w:eastAsia="仿宋" w:cs="仿宋"/>
          <w:sz w:val="32"/>
          <w:szCs w:val="32"/>
          <w:lang w:val="en-US"/>
        </w:rPr>
      </w:pPr>
      <w:r>
        <w:rPr>
          <w:rFonts w:hint="eastAsia" w:ascii="仿宋" w:hAnsi="仿宋" w:eastAsia="仿宋" w:cs="仿宋"/>
          <w:sz w:val="32"/>
          <w:szCs w:val="32"/>
          <w:lang w:val="en-US"/>
        </w:rPr>
        <w:t>一般公共预算拨款收入：指自治区财政部门当年拨付的资金。</w:t>
      </w:r>
    </w:p>
    <w:p>
      <w:pPr>
        <w:numPr>
          <w:ilvl w:val="0"/>
          <w:numId w:val="2"/>
        </w:numPr>
        <w:spacing w:line="560" w:lineRule="atLeast"/>
        <w:ind w:left="559" w:leftChars="254"/>
        <w:rPr>
          <w:rFonts w:ascii="仿宋" w:hAnsi="仿宋" w:eastAsia="仿宋" w:cs="仿宋"/>
          <w:sz w:val="32"/>
          <w:szCs w:val="32"/>
          <w:lang w:val="en-US"/>
        </w:rPr>
      </w:pPr>
      <w:r>
        <w:rPr>
          <w:rFonts w:hint="eastAsia" w:ascii="仿宋" w:hAnsi="仿宋" w:eastAsia="仿宋" w:cs="仿宋"/>
          <w:sz w:val="32"/>
          <w:szCs w:val="32"/>
          <w:lang w:val="en-US"/>
        </w:rPr>
        <w:t>事业收入：指事业单位开展专业业务活动及辅助活动所取得的收入。</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三、财政专户管理收入：包括专户管理行政事业性收费（主要是</w:t>
      </w:r>
    </w:p>
    <w:p>
      <w:pPr>
        <w:spacing w:line="560" w:lineRule="atLeast"/>
        <w:rPr>
          <w:rFonts w:ascii="仿宋" w:hAnsi="仿宋" w:eastAsia="仿宋" w:cs="仿宋"/>
          <w:sz w:val="32"/>
          <w:szCs w:val="32"/>
          <w:lang w:val="en-US"/>
        </w:rPr>
      </w:pPr>
      <w:r>
        <w:rPr>
          <w:rFonts w:hint="eastAsia" w:ascii="仿宋" w:hAnsi="仿宋" w:eastAsia="仿宋" w:cs="仿宋"/>
          <w:sz w:val="32"/>
          <w:szCs w:val="32"/>
          <w:lang w:val="en-US"/>
        </w:rPr>
        <w:t>教育收费）、其他非税收入。</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四、其他收入：指除上述“财政拨款收入”、“财政专户管理收入”、“科研收入”等以外的收入。</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五、基本支出：指为保障机构正常运转、完成日常工作任务而发生的人员支出和公用支出。</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六、项目支出：指在基本支出之外为完成特定行政任务和事业发展目标所发生的支出。</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七、“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八、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560" w:lineRule="atLeast"/>
        <w:ind w:firstLine="640" w:firstLineChars="200"/>
        <w:rPr>
          <w:rFonts w:ascii="仿宋" w:hAnsi="仿宋" w:eastAsia="仿宋" w:cs="仿宋"/>
          <w:sz w:val="32"/>
          <w:szCs w:val="32"/>
          <w:lang w:val="en-US"/>
        </w:rPr>
      </w:pPr>
    </w:p>
    <w:p>
      <w:pPr>
        <w:spacing w:line="560" w:lineRule="atLeast"/>
        <w:jc w:val="center"/>
        <w:rPr>
          <w:rFonts w:ascii="黑体" w:hAnsi="黑体" w:eastAsia="黑体" w:cs="黑体"/>
          <w:sz w:val="32"/>
          <w:szCs w:val="32"/>
          <w:lang w:val="en-US"/>
        </w:rPr>
      </w:pPr>
      <w:r>
        <w:rPr>
          <w:rFonts w:hint="eastAsia" w:ascii="黑体" w:hAnsi="黑体" w:eastAsia="黑体" w:cs="黑体"/>
          <w:sz w:val="32"/>
          <w:szCs w:val="32"/>
        </w:rPr>
        <w:t>第</w:t>
      </w:r>
      <w:r>
        <w:rPr>
          <w:rFonts w:hint="eastAsia" w:ascii="黑体" w:hAnsi="黑体" w:eastAsia="黑体" w:cs="黑体"/>
          <w:sz w:val="32"/>
          <w:szCs w:val="32"/>
          <w:lang w:val="en-US"/>
        </w:rPr>
        <w:t>四</w:t>
      </w:r>
      <w:r>
        <w:rPr>
          <w:rFonts w:hint="eastAsia" w:ascii="黑体" w:hAnsi="黑体" w:eastAsia="黑体" w:cs="黑体"/>
          <w:sz w:val="32"/>
          <w:szCs w:val="32"/>
        </w:rPr>
        <w:t>部分：</w:t>
      </w:r>
      <w:r>
        <w:rPr>
          <w:rFonts w:hint="eastAsia" w:ascii="黑体" w:hAnsi="黑体" w:eastAsia="黑体" w:cs="黑体"/>
          <w:sz w:val="32"/>
          <w:szCs w:val="32"/>
          <w:lang w:val="en-US"/>
        </w:rPr>
        <w:t>桂林电子科技大学2022年部门</w:t>
      </w:r>
      <w:r>
        <w:rPr>
          <w:rFonts w:hint="eastAsia" w:ascii="黑体" w:hAnsi="黑体" w:eastAsia="黑体" w:cs="黑体"/>
          <w:sz w:val="32"/>
          <w:szCs w:val="32"/>
        </w:rPr>
        <w:t>预算</w:t>
      </w:r>
      <w:r>
        <w:rPr>
          <w:rFonts w:hint="eastAsia" w:ascii="黑体" w:hAnsi="黑体" w:eastAsia="黑体" w:cs="黑体"/>
          <w:sz w:val="32"/>
          <w:szCs w:val="32"/>
          <w:lang w:val="en-US"/>
        </w:rPr>
        <w:t>报表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一、部门收支总体情况表（预算公开01表）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二、部门收入总体情况表（预算公开02表）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三、部门支出总体情况表（预算公开03表）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四、财政拨款收支总体情况表（预算公开04表）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五、一般公共预算支出情况表（预算公开05表）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六、一般公共预算基本支出情况表（预算公开06表）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七、一般公共预算“三公”经费支出情况表（预算公开07表）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八、政府性基金预算支出情况表（预算公开08表）</w:t>
      </w:r>
    </w:p>
    <w:p>
      <w:pPr>
        <w:spacing w:line="560" w:lineRule="atLeast"/>
        <w:ind w:firstLine="640" w:firstLineChars="200"/>
        <w:rPr>
          <w:rFonts w:ascii="仿宋" w:hAnsi="仿宋" w:eastAsia="仿宋" w:cs="仿宋"/>
          <w:sz w:val="32"/>
          <w:szCs w:val="32"/>
          <w:lang w:val="en-US"/>
        </w:rPr>
      </w:pPr>
      <w:r>
        <w:rPr>
          <w:rFonts w:hint="eastAsia" w:ascii="仿宋" w:hAnsi="仿宋" w:eastAsia="仿宋" w:cs="仿宋"/>
          <w:sz w:val="32"/>
          <w:szCs w:val="32"/>
          <w:lang w:val="en-US"/>
        </w:rPr>
        <w:t>九、预算绩效项目年度绩效目标申报表（预算公开09-1至09-13表）</w:t>
      </w:r>
    </w:p>
    <w:p>
      <w:pPr>
        <w:spacing w:line="560" w:lineRule="atLeast"/>
        <w:ind w:firstLine="640" w:firstLineChars="200"/>
        <w:rPr>
          <w:rStyle w:val="11"/>
          <w:rFonts w:eastAsia="仿宋" w:asciiTheme="minorEastAsia" w:hAnsiTheme="minorEastAsia" w:cstheme="minorEastAsia"/>
          <w:sz w:val="28"/>
          <w:szCs w:val="28"/>
          <w:lang w:val="en-US"/>
        </w:rPr>
      </w:pPr>
      <w:r>
        <w:rPr>
          <w:rFonts w:hint="eastAsia" w:ascii="仿宋" w:hAnsi="仿宋" w:eastAsia="仿宋" w:cs="仿宋"/>
          <w:sz w:val="32"/>
          <w:szCs w:val="32"/>
          <w:lang w:val="en-US"/>
        </w:rPr>
        <w:t>上述报表详</w:t>
      </w:r>
      <w:r>
        <w:rPr>
          <w:rFonts w:hint="eastAsia" w:ascii="仿宋" w:hAnsi="仿宋" w:eastAsia="仿宋" w:cs="仿宋"/>
          <w:sz w:val="32"/>
          <w:szCs w:val="32"/>
        </w:rPr>
        <w:t>见附件</w:t>
      </w:r>
      <w:r>
        <w:rPr>
          <w:rFonts w:hint="eastAsia" w:ascii="仿宋" w:hAnsi="仿宋" w:eastAsia="仿宋" w:cs="仿宋"/>
          <w:sz w:val="32"/>
          <w:szCs w:val="32"/>
        </w:rPr>
        <w:fldChar w:fldCharType="begin"/>
      </w:r>
      <w:r>
        <w:rPr>
          <w:rFonts w:ascii="仿宋" w:hAnsi="仿宋" w:eastAsia="仿宋" w:cs="仿宋"/>
          <w:sz w:val="32"/>
          <w:szCs w:val="32"/>
        </w:rPr>
        <w:instrText xml:space="preserve">HYPERLINK "C:\\Users\\HP\\Documents\\WeChat Files\\amy-joseph0303\\FileStorage\\File\\2021-02\\桂林电子科技大学2021年预算公开报表.xlsx"</w:instrText>
      </w:r>
      <w:r>
        <w:rPr>
          <w:rFonts w:hint="eastAsia" w:ascii="仿宋" w:hAnsi="仿宋" w:eastAsia="仿宋" w:cs="仿宋"/>
          <w:sz w:val="32"/>
          <w:szCs w:val="32"/>
        </w:rPr>
        <w:fldChar w:fldCharType="separate"/>
      </w:r>
      <w:r>
        <w:rPr>
          <w:rStyle w:val="11"/>
          <w:rFonts w:hint="eastAsia" w:ascii="仿宋" w:hAnsi="仿宋" w:eastAsia="仿宋" w:cs="仿宋"/>
          <w:sz w:val="32"/>
          <w:szCs w:val="32"/>
        </w:rPr>
        <w:t>桂林</w:t>
      </w:r>
      <w:r>
        <w:rPr>
          <w:rStyle w:val="11"/>
          <w:rFonts w:hint="eastAsia" w:ascii="仿宋" w:hAnsi="仿宋" w:eastAsia="仿宋" w:cs="仿宋"/>
          <w:sz w:val="32"/>
          <w:szCs w:val="32"/>
          <w:lang w:val="en-US"/>
        </w:rPr>
        <w:t>电子科技大学</w:t>
      </w:r>
      <w:r>
        <w:rPr>
          <w:rStyle w:val="11"/>
          <w:rFonts w:hint="eastAsia" w:ascii="仿宋" w:hAnsi="仿宋" w:eastAsia="仿宋" w:cs="仿宋"/>
          <w:sz w:val="32"/>
          <w:szCs w:val="32"/>
        </w:rPr>
        <w:t>202</w:t>
      </w:r>
      <w:r>
        <w:rPr>
          <w:rStyle w:val="11"/>
          <w:rFonts w:hint="eastAsia" w:ascii="仿宋" w:hAnsi="仿宋" w:eastAsia="仿宋" w:cs="仿宋"/>
          <w:sz w:val="32"/>
          <w:szCs w:val="32"/>
          <w:lang w:val="en-US"/>
        </w:rPr>
        <w:t>2</w:t>
      </w:r>
      <w:r>
        <w:rPr>
          <w:rStyle w:val="11"/>
          <w:rFonts w:hint="eastAsia" w:ascii="仿宋" w:hAnsi="仿宋" w:eastAsia="仿宋" w:cs="仿宋"/>
          <w:sz w:val="32"/>
          <w:szCs w:val="32"/>
        </w:rPr>
        <w:t>年部门预算公开</w:t>
      </w:r>
      <w:r>
        <w:rPr>
          <w:rStyle w:val="11"/>
          <w:rFonts w:hint="eastAsia" w:ascii="仿宋" w:hAnsi="仿宋" w:eastAsia="仿宋" w:cs="仿宋"/>
          <w:sz w:val="32"/>
          <w:szCs w:val="32"/>
          <w:lang w:val="en-US"/>
        </w:rPr>
        <w:t>报</w:t>
      </w:r>
      <w:r>
        <w:rPr>
          <w:rStyle w:val="11"/>
          <w:rFonts w:hint="eastAsia" w:ascii="仿宋" w:hAnsi="仿宋" w:eastAsia="仿宋" w:cs="仿宋"/>
          <w:sz w:val="32"/>
          <w:szCs w:val="32"/>
        </w:rPr>
        <w:t>表。</w:t>
      </w:r>
    </w:p>
    <w:p>
      <w:pPr>
        <w:spacing w:line="560" w:lineRule="atLeast"/>
        <w:rPr>
          <w:rFonts w:asciiTheme="minorEastAsia" w:hAnsiTheme="minorEastAsia" w:eastAsiaTheme="minorEastAsia" w:cstheme="minorEastAsia"/>
          <w:sz w:val="28"/>
          <w:szCs w:val="28"/>
        </w:rPr>
      </w:pPr>
      <w:r>
        <w:rPr>
          <w:rFonts w:hint="eastAsia" w:ascii="仿宋" w:hAnsi="仿宋" w:eastAsia="仿宋" w:cs="仿宋"/>
          <w:sz w:val="32"/>
          <w:szCs w:val="32"/>
        </w:rPr>
        <w:fldChar w:fldCharType="end"/>
      </w:r>
    </w:p>
    <w:sectPr>
      <w:pgSz w:w="11910" w:h="16840"/>
      <w:pgMar w:top="1440" w:right="1440" w:bottom="1440" w:left="1440" w:header="720" w:footer="720" w:gutter="0"/>
      <w:cols w:equalWidth="0" w:num="1">
        <w:col w:w="869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8543C4"/>
    <w:multiLevelType w:val="singleLevel"/>
    <w:tmpl w:val="8E8543C4"/>
    <w:lvl w:ilvl="0" w:tentative="0">
      <w:start w:val="2"/>
      <w:numFmt w:val="decimal"/>
      <w:suff w:val="nothing"/>
      <w:lvlText w:val="%1、"/>
      <w:lvlJc w:val="left"/>
    </w:lvl>
  </w:abstractNum>
  <w:abstractNum w:abstractNumId="1">
    <w:nsid w:val="93B5D349"/>
    <w:multiLevelType w:val="singleLevel"/>
    <w:tmpl w:val="93B5D34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revisionView w:markup="0"/>
  <w:trackRevisions w:val="1"/>
  <w:documentProtection w:enforcement="0"/>
  <w:defaultTabStop w:val="720"/>
  <w:drawingGridHorizontalSpacing w:val="110"/>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mMTk3YTUzYzc2Y2MyOGY3ZThhMTVmMjg4NDhmYjgifQ=="/>
  </w:docVars>
  <w:rsids>
    <w:rsidRoot w:val="008E02B5"/>
    <w:rsid w:val="000F5E21"/>
    <w:rsid w:val="00344ECA"/>
    <w:rsid w:val="00436728"/>
    <w:rsid w:val="00490B33"/>
    <w:rsid w:val="00690B76"/>
    <w:rsid w:val="006D6924"/>
    <w:rsid w:val="008E02B5"/>
    <w:rsid w:val="009D4731"/>
    <w:rsid w:val="00A4729D"/>
    <w:rsid w:val="00B47BE0"/>
    <w:rsid w:val="00BE51A1"/>
    <w:rsid w:val="00C93E79"/>
    <w:rsid w:val="00CB4849"/>
    <w:rsid w:val="00DD4134"/>
    <w:rsid w:val="00ED61D2"/>
    <w:rsid w:val="043873E7"/>
    <w:rsid w:val="06AA41BD"/>
    <w:rsid w:val="09FC0D9F"/>
    <w:rsid w:val="0DA0000B"/>
    <w:rsid w:val="0F2F0C7D"/>
    <w:rsid w:val="0FD31B65"/>
    <w:rsid w:val="103A2EAB"/>
    <w:rsid w:val="11DE4F82"/>
    <w:rsid w:val="127D4C51"/>
    <w:rsid w:val="139761D2"/>
    <w:rsid w:val="1A0F42E3"/>
    <w:rsid w:val="1CAB5B15"/>
    <w:rsid w:val="1E023C34"/>
    <w:rsid w:val="1F085789"/>
    <w:rsid w:val="1F1A2FC3"/>
    <w:rsid w:val="24031EC0"/>
    <w:rsid w:val="25A957B2"/>
    <w:rsid w:val="27F44706"/>
    <w:rsid w:val="2C686F3F"/>
    <w:rsid w:val="2CCE3607"/>
    <w:rsid w:val="2DE40790"/>
    <w:rsid w:val="2EF56EB1"/>
    <w:rsid w:val="2F112819"/>
    <w:rsid w:val="2F9561F4"/>
    <w:rsid w:val="30077D90"/>
    <w:rsid w:val="302134DF"/>
    <w:rsid w:val="312C161A"/>
    <w:rsid w:val="38221B6D"/>
    <w:rsid w:val="3839030D"/>
    <w:rsid w:val="39EE6626"/>
    <w:rsid w:val="3AC564B0"/>
    <w:rsid w:val="3B28180D"/>
    <w:rsid w:val="3EAB3D06"/>
    <w:rsid w:val="3EEA1437"/>
    <w:rsid w:val="41DA57DC"/>
    <w:rsid w:val="46A56B57"/>
    <w:rsid w:val="46D5699C"/>
    <w:rsid w:val="47CE085D"/>
    <w:rsid w:val="4AEF478D"/>
    <w:rsid w:val="4D6230DD"/>
    <w:rsid w:val="4DB97357"/>
    <w:rsid w:val="4FAD0FC4"/>
    <w:rsid w:val="535C1347"/>
    <w:rsid w:val="547A0650"/>
    <w:rsid w:val="567D7B67"/>
    <w:rsid w:val="57160F71"/>
    <w:rsid w:val="58536D11"/>
    <w:rsid w:val="588A3D1C"/>
    <w:rsid w:val="5AA04B96"/>
    <w:rsid w:val="5BA02306"/>
    <w:rsid w:val="5DED48CB"/>
    <w:rsid w:val="5E707881"/>
    <w:rsid w:val="60A92C15"/>
    <w:rsid w:val="619E2BCA"/>
    <w:rsid w:val="61C24E73"/>
    <w:rsid w:val="63EE7028"/>
    <w:rsid w:val="643A6C0B"/>
    <w:rsid w:val="65BD5840"/>
    <w:rsid w:val="6729019F"/>
    <w:rsid w:val="6B77230A"/>
    <w:rsid w:val="6E6B7FE5"/>
    <w:rsid w:val="6F6B301A"/>
    <w:rsid w:val="75CA3995"/>
    <w:rsid w:val="79512242"/>
    <w:rsid w:val="7B5077BA"/>
    <w:rsid w:val="7E5A044C"/>
    <w:rsid w:val="7EBC11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763"/>
      <w:outlineLvl w:val="0"/>
    </w:pPr>
    <w:rPr>
      <w:rFonts w:ascii="黑体" w:hAnsi="黑体" w:eastAsia="黑体" w:cs="黑体"/>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1"/>
    <w:rPr>
      <w:sz w:val="28"/>
      <w:szCs w:val="28"/>
    </w:rPr>
  </w:style>
  <w:style w:type="paragraph" w:styleId="4">
    <w:name w:val="Balloon Text"/>
    <w:basedOn w:val="1"/>
    <w:link w:val="17"/>
    <w:uiPriority w:val="0"/>
    <w:rPr>
      <w:sz w:val="18"/>
      <w:szCs w:val="18"/>
    </w:rPr>
  </w:style>
  <w:style w:type="paragraph" w:styleId="5">
    <w:name w:val="footer"/>
    <w:basedOn w:val="1"/>
    <w:link w:val="16"/>
    <w:qFormat/>
    <w:uiPriority w:val="0"/>
    <w:pPr>
      <w:tabs>
        <w:tab w:val="center" w:pos="4153"/>
        <w:tab w:val="right" w:pos="8306"/>
      </w:tabs>
      <w:snapToGrid w:val="0"/>
    </w:pPr>
    <w:rPr>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pPr>
    <w:rPr>
      <w:sz w:val="24"/>
      <w:szCs w:val="24"/>
    </w:rPr>
  </w:style>
  <w:style w:type="character" w:styleId="10">
    <w:name w:val="FollowedHyperlink"/>
    <w:basedOn w:val="9"/>
    <w:qFormat/>
    <w:uiPriority w:val="0"/>
    <w:rPr>
      <w:color w:val="800080"/>
      <w:u w:val="single"/>
    </w:rPr>
  </w:style>
  <w:style w:type="character" w:styleId="11">
    <w:name w:val="Hyperlink"/>
    <w:basedOn w:val="9"/>
    <w:qFormat/>
    <w:uiPriority w:val="0"/>
    <w:rPr>
      <w:color w:val="0000FF"/>
      <w:u w:val="single"/>
    </w:rPr>
  </w:style>
  <w:style w:type="table" w:customStyle="1" w:styleId="12">
    <w:name w:val="Table Normal"/>
    <w:semiHidden/>
    <w:unhideWhenUsed/>
    <w:qFormat/>
    <w:uiPriority w:val="2"/>
    <w:tblPr>
      <w:tblCellMar>
        <w:top w:w="0" w:type="dxa"/>
        <w:left w:w="0" w:type="dxa"/>
        <w:bottom w:w="0" w:type="dxa"/>
        <w:right w:w="0" w:type="dxa"/>
      </w:tblCellMar>
    </w:tblPr>
  </w:style>
  <w:style w:type="paragraph" w:styleId="13">
    <w:name w:val="List Paragraph"/>
    <w:basedOn w:val="1"/>
    <w:qFormat/>
    <w:uiPriority w:val="1"/>
  </w:style>
  <w:style w:type="paragraph" w:customStyle="1" w:styleId="14">
    <w:name w:val="Table Paragraph"/>
    <w:basedOn w:val="1"/>
    <w:qFormat/>
    <w:uiPriority w:val="1"/>
  </w:style>
  <w:style w:type="character" w:customStyle="1" w:styleId="15">
    <w:name w:val="页眉 Char"/>
    <w:basedOn w:val="9"/>
    <w:link w:val="6"/>
    <w:qFormat/>
    <w:uiPriority w:val="0"/>
    <w:rPr>
      <w:rFonts w:ascii="宋体" w:hAnsi="宋体" w:cs="宋体"/>
      <w:sz w:val="18"/>
      <w:szCs w:val="18"/>
      <w:lang w:val="zh-CN" w:bidi="zh-CN"/>
    </w:rPr>
  </w:style>
  <w:style w:type="character" w:customStyle="1" w:styleId="16">
    <w:name w:val="页脚 Char"/>
    <w:basedOn w:val="9"/>
    <w:link w:val="5"/>
    <w:qFormat/>
    <w:uiPriority w:val="0"/>
    <w:rPr>
      <w:rFonts w:ascii="宋体" w:hAnsi="宋体" w:cs="宋体"/>
      <w:sz w:val="18"/>
      <w:szCs w:val="18"/>
      <w:lang w:val="zh-CN" w:bidi="zh-CN"/>
    </w:rPr>
  </w:style>
  <w:style w:type="character" w:customStyle="1" w:styleId="17">
    <w:name w:val="批注框文本 Char"/>
    <w:basedOn w:val="9"/>
    <w:link w:val="4"/>
    <w:qFormat/>
    <w:uiPriority w:val="0"/>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33</Pages>
  <Words>2702</Words>
  <Characters>15404</Characters>
  <Lines>128</Lines>
  <Paragraphs>36</Paragraphs>
  <TotalTime>30</TotalTime>
  <ScaleCrop>false</ScaleCrop>
  <LinksUpToDate>false</LinksUpToDate>
  <CharactersWithSpaces>18070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2021-02-27T01:28:00Z</dcterms:created>
  <dc:creator>莫先孔</dc:creator>
  <cp:lastModifiedBy>马亮</cp:lastModifiedBy>
  <dcterms:modified xsi:type="dcterms:W3CDTF">2023-09-25T01:31:50Z</dcterms:modified>
  <dc:title>附件：（部门决算公开格式）</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2020-09-04T00:00:00Z</vt:filetime>
  </property>
  <property fmtid="{D5CDD505-2E9C-101B-9397-08002B2CF9AE}" pid="3" name="Creator">
    <vt:lpwstr>Microsoft® Word 2010</vt:lpwstr>
  </property>
  <property fmtid="{D5CDD505-2E9C-101B-9397-08002B2CF9AE}" pid="4" name="LastSaved">
    <vt:filetime>2021-02-13T00:00:00Z</vt:filetime>
  </property>
  <property fmtid="{D5CDD505-2E9C-101B-9397-08002B2CF9AE}" pid="5" name="KSOProductBuildVer">
    <vt:lpwstr>2052-12.1.0.15374</vt:lpwstr>
  </property>
  <property fmtid="{D5CDD505-2E9C-101B-9397-08002B2CF9AE}" pid="6" name="ICV">
    <vt:lpwstr>4F379BD4131040DF9768CB1BF3AA84A1_12</vt:lpwstr>
  </property>
</Properties>
</file>