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微软雅黑" w:hAnsi="微软雅黑" w:eastAsia="微软雅黑" w:cs="微软雅黑"/>
          <w:b/>
          <w:bCs/>
          <w:sz w:val="28"/>
          <w:szCs w:val="28"/>
          <w:lang w:val="en-US" w:eastAsia="zh-CN"/>
        </w:rPr>
      </w:pPr>
      <w:r>
        <w:rPr>
          <w:rFonts w:hint="eastAsia" w:ascii="微软雅黑" w:hAnsi="微软雅黑" w:eastAsia="微软雅黑" w:cs="微软雅黑"/>
          <w:b/>
          <w:bCs/>
          <w:sz w:val="28"/>
          <w:szCs w:val="28"/>
          <w:lang w:val="en-US" w:eastAsia="zh-CN"/>
        </w:rPr>
        <w:t>拉普拉斯新能源科技股份有限公司招聘简章</w:t>
      </w:r>
    </w:p>
    <w:p>
      <w:pPr>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一、公司概括</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微软雅黑" w:hAnsi="微软雅黑" w:eastAsia="微软雅黑" w:cs="微软雅黑"/>
          <w:color w:val="auto"/>
          <w:lang w:val="en-US" w:eastAsia="zh-CN"/>
        </w:rPr>
      </w:pPr>
      <w:r>
        <w:rPr>
          <w:rFonts w:hint="eastAsia" w:ascii="微软雅黑" w:hAnsi="微软雅黑" w:eastAsia="微软雅黑" w:cs="微软雅黑"/>
          <w:color w:val="auto"/>
          <w:lang w:val="en-US" w:eastAsia="zh-CN"/>
        </w:rPr>
        <w:t>拉普拉斯新能源科技股份有限公司(LAPLACE Renewable Energy Technology Co., Ltd.)成立于2016年5月，是一家由多名海内外光伏及半导体设备行业顶尖专家创立的高端装备与解决方案提供商，被工信部认定为国家级专精特新“小巨人”，荣获中国专利优秀奖、深圳市独角兽企业等荣誉，被认定为广东省泛半导体高端装备工程技术研究中心。公司核心产品以高性能热制程（硼扩散、磷扩散、氧化及退火设备等），镀膜（LPCVD、PECVD设备等）以及配套自动化设备为主，应用领域集中在高效光伏电池和半导体分立器件相关研发和制造。公司现有员工人数超过3000名，其中研发、技术支持人员占比达40%以上。截至2023年6月30日，公司累计已申请600余项专利，拥有授权近400项。公司成功攻克了N型光伏高效电池发展的技术瓶颈，核心设备大规模应用于TOPCon、XBC等多种光伏高效电池制造，并协助行业龙头企业先后十余次打破光伏高效电池转换效率的世界纪录。目前公司为客户提供核心工艺设备的产线中，已满产或投产累计产能超100GW。</w:t>
      </w:r>
    </w:p>
    <w:p>
      <w:pPr>
        <w:rPr>
          <w:rFonts w:hint="eastAsia" w:ascii="微软雅黑" w:hAnsi="微软雅黑" w:eastAsia="微软雅黑" w:cs="微软雅黑"/>
          <w:color w:val="auto"/>
          <w:lang w:val="en-US" w:eastAsia="zh-CN"/>
        </w:rPr>
      </w:pPr>
    </w:p>
    <w:p>
      <w:pPr>
        <w:numPr>
          <w:ilvl w:val="0"/>
          <w:numId w:val="1"/>
        </w:numPr>
        <w:rPr>
          <w:rFonts w:hint="eastAsia" w:ascii="微软雅黑" w:hAnsi="微软雅黑" w:eastAsia="微软雅黑" w:cs="微软雅黑"/>
          <w:color w:val="auto"/>
          <w:sz w:val="28"/>
          <w:szCs w:val="28"/>
          <w:lang w:val="en-US" w:eastAsia="zh-CN"/>
        </w:rPr>
      </w:pPr>
      <w:r>
        <w:rPr>
          <w:rFonts w:hint="eastAsia" w:ascii="微软雅黑" w:hAnsi="微软雅黑" w:eastAsia="微软雅黑" w:cs="微软雅黑"/>
          <w:color w:val="auto"/>
          <w:sz w:val="28"/>
          <w:szCs w:val="28"/>
          <w:lang w:val="en-US" w:eastAsia="zh-CN"/>
        </w:rPr>
        <w:t>企业文化</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微软雅黑" w:hAnsi="微软雅黑" w:eastAsia="微软雅黑" w:cs="微软雅黑"/>
          <w:color w:val="auto"/>
          <w:lang w:val="en-US" w:eastAsia="zh-CN"/>
        </w:rPr>
      </w:pPr>
      <w:r>
        <w:rPr>
          <w:rFonts w:hint="eastAsia" w:ascii="微软雅黑" w:hAnsi="微软雅黑" w:eastAsia="微软雅黑" w:cs="微软雅黑"/>
          <w:color w:val="auto"/>
          <w:lang w:val="en-US" w:eastAsia="zh-CN"/>
        </w:rPr>
        <w:t>我们的使命：推动新能源技术创新，造福人类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微软雅黑" w:hAnsi="微软雅黑" w:eastAsia="微软雅黑" w:cs="微软雅黑"/>
          <w:color w:val="auto"/>
          <w:lang w:val="en-US" w:eastAsia="zh-CN"/>
        </w:rPr>
      </w:pPr>
      <w:r>
        <w:rPr>
          <w:rFonts w:hint="eastAsia" w:ascii="微软雅黑" w:hAnsi="微软雅黑" w:eastAsia="微软雅黑" w:cs="微软雅黑"/>
          <w:color w:val="auto"/>
          <w:lang w:val="en-US" w:eastAsia="zh-CN"/>
        </w:rPr>
        <w:t>我们的愿景：致力于成为全球高端光伏装备和解决方案的引领者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微软雅黑" w:hAnsi="微软雅黑" w:eastAsia="微软雅黑" w:cs="微软雅黑"/>
          <w:color w:val="auto"/>
          <w:lang w:val="en-US" w:eastAsia="zh-CN"/>
        </w:rPr>
      </w:pPr>
      <w:r>
        <w:rPr>
          <w:rFonts w:hint="eastAsia" w:ascii="微软雅黑" w:hAnsi="微软雅黑" w:eastAsia="微软雅黑" w:cs="微软雅黑"/>
          <w:color w:val="auto"/>
          <w:lang w:val="en-US" w:eastAsia="zh-CN"/>
        </w:rPr>
        <w:t>我们的核心价值观：可靠、增值、专注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微软雅黑" w:hAnsi="微软雅黑" w:eastAsia="微软雅黑" w:cs="微软雅黑"/>
          <w:color w:val="auto"/>
          <w:lang w:val="en-US" w:eastAsia="zh-CN"/>
        </w:rPr>
      </w:pPr>
      <w:r>
        <w:rPr>
          <w:rFonts w:hint="default" w:ascii="微软雅黑" w:hAnsi="微软雅黑" w:eastAsia="微软雅黑" w:cs="微软雅黑"/>
          <w:color w:val="auto"/>
          <w:lang w:val="en-US" w:eastAsia="zh-CN"/>
        </w:rPr>
        <w:t>可靠：做可靠的搭档，做可靠的事，提供可靠的产品和服务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微软雅黑" w:hAnsi="微软雅黑" w:eastAsia="微软雅黑" w:cs="微软雅黑"/>
          <w:color w:val="auto"/>
          <w:lang w:val="en-US" w:eastAsia="zh-CN"/>
        </w:rPr>
      </w:pPr>
      <w:r>
        <w:rPr>
          <w:rFonts w:hint="default" w:ascii="微软雅黑" w:hAnsi="微软雅黑" w:eastAsia="微软雅黑" w:cs="微软雅黑"/>
          <w:color w:val="auto"/>
          <w:lang w:val="en-US" w:eastAsia="zh-CN"/>
        </w:rPr>
        <w:t>增值：让客户增值，让合作伙伴增值，最终实现自我增值</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微软雅黑" w:hAnsi="微软雅黑" w:eastAsia="微软雅黑" w:cs="微软雅黑"/>
          <w:color w:val="auto"/>
          <w:lang w:val="en-US" w:eastAsia="zh-CN"/>
        </w:rPr>
      </w:pPr>
      <w:r>
        <w:rPr>
          <w:rFonts w:hint="default" w:ascii="微软雅黑" w:hAnsi="微软雅黑" w:eastAsia="微软雅黑" w:cs="微软雅黑"/>
          <w:color w:val="auto"/>
          <w:lang w:val="en-US" w:eastAsia="zh-CN"/>
        </w:rPr>
        <w:t>专注：专注客户需求，专注产品，专注服务，追求卓越</w:t>
      </w:r>
    </w:p>
    <w:p>
      <w:pPr>
        <w:rPr>
          <w:rFonts w:hint="default" w:ascii="微软雅黑" w:hAnsi="微软雅黑" w:eastAsia="微软雅黑" w:cs="微软雅黑"/>
          <w:color w:val="auto"/>
          <w:lang w:val="en-US" w:eastAsia="zh-CN"/>
        </w:rPr>
      </w:pPr>
    </w:p>
    <w:p>
      <w:pPr>
        <w:rPr>
          <w:rFonts w:hint="default" w:ascii="微软雅黑" w:hAnsi="微软雅黑" w:eastAsia="微软雅黑" w:cs="微软雅黑"/>
          <w:color w:val="auto"/>
          <w:lang w:val="en-US" w:eastAsia="zh-CN"/>
        </w:rPr>
      </w:pPr>
    </w:p>
    <w:p>
      <w:pPr>
        <w:rPr>
          <w:rFonts w:hint="default" w:ascii="微软雅黑" w:hAnsi="微软雅黑" w:eastAsia="微软雅黑" w:cs="微软雅黑"/>
          <w:color w:val="FF0000"/>
          <w:sz w:val="28"/>
          <w:szCs w:val="28"/>
          <w:lang w:val="en-US" w:eastAsia="zh-CN"/>
        </w:rPr>
      </w:pPr>
      <w:r>
        <w:rPr>
          <w:rFonts w:hint="eastAsia" w:ascii="微软雅黑" w:hAnsi="微软雅黑" w:eastAsia="微软雅黑" w:cs="微软雅黑"/>
          <w:sz w:val="28"/>
          <w:szCs w:val="28"/>
          <w:lang w:val="en-US" w:eastAsia="zh-CN"/>
        </w:rPr>
        <w:t xml:space="preserve">三、岗位需求 </w:t>
      </w:r>
    </w:p>
    <w:tbl>
      <w:tblPr>
        <w:tblStyle w:val="2"/>
        <w:tblW w:w="8596" w:type="dxa"/>
        <w:tblInd w:w="1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58"/>
        <w:gridCol w:w="944"/>
        <w:gridCol w:w="2163"/>
        <w:gridCol w:w="791"/>
        <w:gridCol w:w="1100"/>
        <w:gridCol w:w="26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958" w:type="dxa"/>
            <w:tcBorders>
              <w:top w:val="single" w:color="000000" w:sz="4" w:space="0"/>
              <w:left w:val="single" w:color="000000" w:sz="4" w:space="0"/>
              <w:bottom w:val="single" w:color="000000" w:sz="4" w:space="0"/>
              <w:right w:val="single" w:color="000000" w:sz="4" w:space="0"/>
            </w:tcBorders>
            <w:shd w:val="clear" w:color="auto" w:fill="92D050"/>
            <w:vAlign w:val="center"/>
          </w:tcPr>
          <w:p>
            <w:pPr>
              <w:keepNext w:val="0"/>
              <w:keepLines w:val="0"/>
              <w:widowControl/>
              <w:suppressLineNumbers w:val="0"/>
              <w:jc w:val="center"/>
              <w:textAlignment w:val="center"/>
              <w:rPr>
                <w:rFonts w:hint="eastAsia" w:ascii="宋体" w:hAnsi="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职位</w:t>
            </w:r>
            <w:r>
              <w:rPr>
                <w:rFonts w:hint="eastAsia" w:ascii="宋体" w:hAnsi="宋体" w:cs="宋体"/>
                <w:b/>
                <w:bCs/>
                <w:i w:val="0"/>
                <w:iCs w:val="0"/>
                <w:color w:val="000000"/>
                <w:kern w:val="0"/>
                <w:sz w:val="20"/>
                <w:szCs w:val="20"/>
                <w:u w:val="none"/>
                <w:lang w:val="en-US" w:eastAsia="zh-CN" w:bidi="ar"/>
              </w:rPr>
              <w:t xml:space="preserve"> </w:t>
            </w:r>
          </w:p>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类别</w:t>
            </w:r>
          </w:p>
        </w:tc>
        <w:tc>
          <w:tcPr>
            <w:tcW w:w="944" w:type="dxa"/>
            <w:tcBorders>
              <w:top w:val="single" w:color="000000" w:sz="4" w:space="0"/>
              <w:left w:val="single" w:color="000000" w:sz="4" w:space="0"/>
              <w:bottom w:val="single" w:color="000000" w:sz="4" w:space="0"/>
              <w:right w:val="single" w:color="000000" w:sz="4" w:space="0"/>
            </w:tcBorders>
            <w:shd w:val="clear" w:color="auto" w:fill="92D05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职位</w:t>
            </w:r>
          </w:p>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方向</w:t>
            </w:r>
          </w:p>
        </w:tc>
        <w:tc>
          <w:tcPr>
            <w:tcW w:w="2163" w:type="dxa"/>
            <w:tcBorders>
              <w:top w:val="single" w:color="000000" w:sz="4" w:space="0"/>
              <w:left w:val="single" w:color="000000" w:sz="4" w:space="0"/>
              <w:bottom w:val="single" w:color="000000" w:sz="4" w:space="0"/>
              <w:right w:val="single" w:color="000000" w:sz="4" w:space="0"/>
            </w:tcBorders>
            <w:shd w:val="clear" w:color="auto" w:fill="92D05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所需专业方向</w:t>
            </w:r>
          </w:p>
        </w:tc>
        <w:tc>
          <w:tcPr>
            <w:tcW w:w="791" w:type="dxa"/>
            <w:tcBorders>
              <w:top w:val="single" w:color="000000" w:sz="4" w:space="0"/>
              <w:left w:val="single" w:color="000000" w:sz="4" w:space="0"/>
              <w:bottom w:val="single" w:color="000000" w:sz="4" w:space="0"/>
              <w:right w:val="single" w:color="000000" w:sz="4" w:space="0"/>
            </w:tcBorders>
            <w:shd w:val="clear" w:color="auto" w:fill="92D05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学历要求</w:t>
            </w:r>
          </w:p>
        </w:tc>
        <w:tc>
          <w:tcPr>
            <w:tcW w:w="1100" w:type="dxa"/>
            <w:tcBorders>
              <w:top w:val="single" w:color="000000" w:sz="4" w:space="0"/>
              <w:left w:val="single" w:color="000000" w:sz="4" w:space="0"/>
              <w:bottom w:val="single" w:color="000000" w:sz="4" w:space="0"/>
              <w:right w:val="single" w:color="000000" w:sz="4" w:space="0"/>
            </w:tcBorders>
            <w:shd w:val="clear" w:color="auto" w:fill="92D05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需求人数</w:t>
            </w:r>
          </w:p>
        </w:tc>
        <w:tc>
          <w:tcPr>
            <w:tcW w:w="2640" w:type="dxa"/>
            <w:tcBorders>
              <w:top w:val="single" w:color="000000" w:sz="4" w:space="0"/>
              <w:left w:val="single" w:color="000000" w:sz="4" w:space="0"/>
              <w:bottom w:val="single" w:color="000000" w:sz="4" w:space="0"/>
              <w:right w:val="single" w:color="000000" w:sz="4" w:space="0"/>
            </w:tcBorders>
            <w:shd w:val="clear" w:color="auto" w:fill="92D05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工作地点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958"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研发类</w:t>
            </w: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真空类</w:t>
            </w:r>
          </w:p>
        </w:tc>
        <w:tc>
          <w:tcPr>
            <w:tcW w:w="2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真空等</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硕士、本科</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深圳、无锡、西安、广州、海宁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4" w:hRule="atLeast"/>
        </w:trPr>
        <w:tc>
          <w:tcPr>
            <w:tcW w:w="958"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热场类</w:t>
            </w:r>
          </w:p>
        </w:tc>
        <w:tc>
          <w:tcPr>
            <w:tcW w:w="2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无机非金属、高分子材料等</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硕士、本科</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泰州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8" w:hRule="atLeast"/>
        </w:trPr>
        <w:tc>
          <w:tcPr>
            <w:tcW w:w="958"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机械类</w:t>
            </w:r>
          </w:p>
        </w:tc>
        <w:tc>
          <w:tcPr>
            <w:tcW w:w="2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机械设计、机械制造及工程自动化、机电一体化、半导体等</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硕士、本科</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深圳、无锡、西安、广州、海宁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6" w:hRule="atLeast"/>
        </w:trPr>
        <w:tc>
          <w:tcPr>
            <w:tcW w:w="958"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电气类（软件/硬件）</w:t>
            </w:r>
          </w:p>
        </w:tc>
        <w:tc>
          <w:tcPr>
            <w:tcW w:w="2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电气工程、机电一体化、自动化等</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硕士、本科</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深圳、无锡、西安、广州、海宁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8" w:hRule="atLeast"/>
        </w:trPr>
        <w:tc>
          <w:tcPr>
            <w:tcW w:w="958"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材料类</w:t>
            </w:r>
          </w:p>
        </w:tc>
        <w:tc>
          <w:tcPr>
            <w:tcW w:w="2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无机非金属、高分子材料、材料化学、材料科学与工程等</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硕士、本科</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深圳、泰州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7" w:hRule="atLeast"/>
        </w:trPr>
        <w:tc>
          <w:tcPr>
            <w:tcW w:w="958"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工艺类</w:t>
            </w:r>
          </w:p>
        </w:tc>
        <w:tc>
          <w:tcPr>
            <w:tcW w:w="2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材料化学、材料物理、材料科学与工程、半导体等</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硕士、本科</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深圳、西安、广州、海宁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958"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产品管理类</w:t>
            </w:r>
          </w:p>
        </w:tc>
        <w:tc>
          <w:tcPr>
            <w:tcW w:w="2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光伏、新能源、理工等</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硕士、本科</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深圳、无锡、西安、泰州、广州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6" w:hRule="atLeast"/>
        </w:trPr>
        <w:tc>
          <w:tcPr>
            <w:tcW w:w="958"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研发项目管理类</w:t>
            </w:r>
          </w:p>
        </w:tc>
        <w:tc>
          <w:tcPr>
            <w:tcW w:w="2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新能源、电子、制造、计算机、电子工程等</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硕士、本科</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深圳、无锡、西安、泰州、广州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4" w:hRule="atLeast"/>
        </w:trPr>
        <w:tc>
          <w:tcPr>
            <w:tcW w:w="958"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机械类、自动化类</w:t>
            </w:r>
          </w:p>
        </w:tc>
        <w:tc>
          <w:tcPr>
            <w:tcW w:w="2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机械设计、自动化、机电一体化等</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深圳、无锡、西安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4" w:hRule="atLeast"/>
        </w:trPr>
        <w:tc>
          <w:tcPr>
            <w:tcW w:w="958"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职能类</w:t>
            </w: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财务方向</w:t>
            </w:r>
          </w:p>
        </w:tc>
        <w:tc>
          <w:tcPr>
            <w:tcW w:w="2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会计、金融、财务管理、统计等</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硕士、本科</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深圳、无锡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958"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法务方向</w:t>
            </w:r>
          </w:p>
        </w:tc>
        <w:tc>
          <w:tcPr>
            <w:tcW w:w="2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法律、证券类等</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硕士、本科</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4" w:hRule="atLeast"/>
        </w:trPr>
        <w:tc>
          <w:tcPr>
            <w:tcW w:w="958"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采购类</w:t>
            </w:r>
          </w:p>
        </w:tc>
        <w:tc>
          <w:tcPr>
            <w:tcW w:w="2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电子、制造、材料、综合等</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硕士、本科</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深圳、无锡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958"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人力资源</w:t>
            </w:r>
          </w:p>
        </w:tc>
        <w:tc>
          <w:tcPr>
            <w:tcW w:w="2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人力资源、其他等</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硕士、本科</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深圳、无锡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4" w:hRule="atLeast"/>
        </w:trPr>
        <w:tc>
          <w:tcPr>
            <w:tcW w:w="958"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经营类</w:t>
            </w:r>
          </w:p>
        </w:tc>
        <w:tc>
          <w:tcPr>
            <w:tcW w:w="2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企业管理、经济、财务、数据分析等</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硕士、本科</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深圳、无锡、泰州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4" w:hRule="atLeast"/>
        </w:trPr>
        <w:tc>
          <w:tcPr>
            <w:tcW w:w="958"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信息化</w:t>
            </w:r>
          </w:p>
        </w:tc>
        <w:tc>
          <w:tcPr>
            <w:tcW w:w="2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信息系统管理、计算机、软件等</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深圳、无锡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958"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品质类</w:t>
            </w: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质量保证类</w:t>
            </w:r>
          </w:p>
        </w:tc>
        <w:tc>
          <w:tcPr>
            <w:tcW w:w="2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理工类等</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硕士、本科</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深圳、无锡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4" w:hRule="atLeast"/>
        </w:trPr>
        <w:tc>
          <w:tcPr>
            <w:tcW w:w="958"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制造类</w:t>
            </w: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制造类</w:t>
            </w:r>
          </w:p>
        </w:tc>
        <w:tc>
          <w:tcPr>
            <w:tcW w:w="2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机械、自动化、理工、制造类等</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深圳、无锡、泰州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6" w:hRule="atLeast"/>
        </w:trPr>
        <w:tc>
          <w:tcPr>
            <w:tcW w:w="958"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制造工程类</w:t>
            </w:r>
          </w:p>
        </w:tc>
        <w:tc>
          <w:tcPr>
            <w:tcW w:w="2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IE、PE、机械、自动化、理工、制造类等</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深圳、无锡、泰州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4" w:hRule="atLeast"/>
        </w:trPr>
        <w:tc>
          <w:tcPr>
            <w:tcW w:w="958"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计划运营类</w:t>
            </w:r>
          </w:p>
        </w:tc>
        <w:tc>
          <w:tcPr>
            <w:tcW w:w="2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数据分析、企业管理、统计学等</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深圳、无锡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6" w:hRule="atLeast"/>
        </w:trPr>
        <w:tc>
          <w:tcPr>
            <w:tcW w:w="958"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仓储物流类</w:t>
            </w:r>
          </w:p>
        </w:tc>
        <w:tc>
          <w:tcPr>
            <w:tcW w:w="2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交通运输、统计学、管理类、经济类等</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深圳、无锡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4" w:hRule="atLeast"/>
        </w:trPr>
        <w:tc>
          <w:tcPr>
            <w:tcW w:w="958"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物料管理类</w:t>
            </w:r>
          </w:p>
        </w:tc>
        <w:tc>
          <w:tcPr>
            <w:tcW w:w="2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数据分析、企业管理、统计学等</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深圳、无锡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5" w:hRule="atLeast"/>
        </w:trPr>
        <w:tc>
          <w:tcPr>
            <w:tcW w:w="9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营销类</w:t>
            </w: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不限</w:t>
            </w:r>
          </w:p>
        </w:tc>
        <w:tc>
          <w:tcPr>
            <w:tcW w:w="2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不限</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无锡</w:t>
            </w:r>
          </w:p>
        </w:tc>
      </w:tr>
    </w:tbl>
    <w:p>
      <w:pPr>
        <w:numPr>
          <w:ilvl w:val="0"/>
          <w:numId w:val="0"/>
        </w:numPr>
        <w:rPr>
          <w:rFonts w:hint="eastAsia" w:ascii="微软雅黑" w:hAnsi="微软雅黑" w:eastAsia="微软雅黑" w:cs="微软雅黑"/>
          <w:sz w:val="28"/>
          <w:szCs w:val="28"/>
          <w:highlight w:val="red"/>
          <w:lang w:val="en-US" w:eastAsia="zh-CN"/>
        </w:rPr>
      </w:pPr>
    </w:p>
    <w:p>
      <w:pPr>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四、公司优势</w:t>
      </w:r>
    </w:p>
    <w:p>
      <w:pPr>
        <w:numPr>
          <w:ilvl w:val="0"/>
          <w:numId w:val="0"/>
        </w:numPr>
        <w:rPr>
          <w:rFonts w:hint="eastAsia" w:ascii="微软雅黑" w:hAnsi="微软雅黑" w:eastAsia="微软雅黑" w:cs="微软雅黑"/>
          <w:b/>
          <w:bCs/>
          <w:lang w:val="en-US" w:eastAsia="zh-CN"/>
        </w:rPr>
      </w:pPr>
      <w:r>
        <w:rPr>
          <w:rFonts w:hint="eastAsia" w:ascii="微软雅黑" w:hAnsi="微软雅黑" w:eastAsia="微软雅黑" w:cs="微软雅黑"/>
          <w:lang w:val="en-US" w:eastAsia="zh-CN"/>
        </w:rPr>
        <w:t xml:space="preserve"> </w:t>
      </w:r>
      <w:r>
        <w:rPr>
          <w:rFonts w:hint="eastAsia" w:ascii="微软雅黑" w:hAnsi="微软雅黑" w:eastAsia="微软雅黑" w:cs="微软雅黑"/>
          <w:b/>
          <w:bCs/>
          <w:lang w:val="en-US" w:eastAsia="zh-CN"/>
        </w:rPr>
        <w:t>成长有厚度：</w:t>
      </w:r>
    </w:p>
    <w:p>
      <w:pPr>
        <w:numPr>
          <w:ilvl w:val="0"/>
          <w:numId w:val="0"/>
        </w:numPr>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1、管理通道：专员/工程师--主管--经理--高级经理--总监--副总经理--总经理</w:t>
      </w:r>
    </w:p>
    <w:p>
      <w:pPr>
        <w:numPr>
          <w:ilvl w:val="0"/>
          <w:numId w:val="0"/>
        </w:numPr>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2、专业通道：助理工程师--工程师--主管工程师--主任工程师--高级工程师--总工程师--科学家--首席科学家</w:t>
      </w:r>
    </w:p>
    <w:p>
      <w:pPr>
        <w:numPr>
          <w:ilvl w:val="0"/>
          <w:numId w:val="0"/>
        </w:numPr>
        <w:ind w:firstLine="210" w:firstLineChars="100"/>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3、其他通道：专员--高级专员--资深专员--专家--资深专家</w:t>
      </w:r>
    </w:p>
    <w:p>
      <w:pPr>
        <w:numPr>
          <w:ilvl w:val="0"/>
          <w:numId w:val="0"/>
        </w:numPr>
        <w:ind w:firstLine="210" w:firstLineChars="100"/>
        <w:rPr>
          <w:rFonts w:hint="eastAsia" w:ascii="微软雅黑" w:hAnsi="微软雅黑" w:eastAsia="微软雅黑" w:cs="微软雅黑"/>
          <w:b/>
          <w:bCs/>
          <w:lang w:val="en-US" w:eastAsia="zh-CN"/>
        </w:rPr>
      </w:pPr>
      <w:r>
        <w:rPr>
          <w:rFonts w:hint="eastAsia" w:ascii="微软雅黑" w:hAnsi="微软雅黑" w:eastAsia="微软雅黑" w:cs="微软雅黑"/>
          <w:b/>
          <w:bCs/>
          <w:lang w:val="en-US" w:eastAsia="zh-CN"/>
        </w:rPr>
        <w:t>幸福有热度：</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1、提供具有竞争力的薪酬和丰厚的年终奖（2-4个月薪资），每年两次调薪机会。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2、健全的福利机制（入职购买五险一金，各种节假日礼品，生日会，部门团建）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3、公司提供免费食宿，菜品多样，住宿环境配置齐全。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微软雅黑" w:hAnsi="微软雅黑" w:eastAsia="微软雅黑" w:cs="微软雅黑"/>
          <w:lang w:val="en-US" w:eastAsia="zh-CN"/>
        </w:rPr>
      </w:pPr>
      <w:r>
        <w:rPr>
          <w:rFonts w:hint="eastAsia" w:ascii="微软雅黑" w:hAnsi="微软雅黑" w:eastAsia="微软雅黑" w:cs="微软雅黑"/>
          <w:lang w:val="en-US" w:eastAsia="zh-CN"/>
        </w:rPr>
        <w:t>4、各种培训成长的机会，良好的团队协作，自由轻松的工作氛围。</w:t>
      </w:r>
    </w:p>
    <w:p>
      <w:pPr>
        <w:rPr>
          <w:rFonts w:hint="eastAsia" w:ascii="微软雅黑" w:hAnsi="微软雅黑" w:eastAsia="微软雅黑" w:cs="微软雅黑"/>
          <w:sz w:val="28"/>
          <w:szCs w:val="28"/>
          <w:lang w:val="en-US" w:eastAsia="zh-CN"/>
        </w:rPr>
      </w:pPr>
    </w:p>
    <w:p>
      <w:pPr>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五、应聘流程</w:t>
      </w:r>
    </w:p>
    <w:p>
      <w:pPr>
        <w:keepNext w:val="0"/>
        <w:keepLines w:val="0"/>
        <w:pageBreakBefore w:val="0"/>
        <w:widowControl w:val="0"/>
        <w:kinsoku/>
        <w:wordWrap/>
        <w:overflowPunct/>
        <w:topLinePunct w:val="0"/>
        <w:autoSpaceDE/>
        <w:autoSpaceDN/>
        <w:bidi w:val="0"/>
        <w:adjustRightInd/>
        <w:snapToGrid/>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线上投递简历/宣讲会→线下投递简历→初试→复试→offer发放</w:t>
      </w:r>
    </w:p>
    <w:p>
      <w:pPr>
        <w:keepNext w:val="0"/>
        <w:keepLines w:val="0"/>
        <w:pageBreakBefore w:val="0"/>
        <w:widowControl w:val="0"/>
        <w:kinsoku/>
        <w:wordWrap/>
        <w:overflowPunct/>
        <w:topLinePunct w:val="0"/>
        <w:autoSpaceDE/>
        <w:autoSpaceDN/>
        <w:bidi w:val="0"/>
        <w:adjustRightInd/>
        <w:snapToGrid/>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简历投递方式：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1、投递邮箱：</w:t>
      </w:r>
      <w:r>
        <w:rPr>
          <w:rFonts w:hint="eastAsia" w:ascii="微软雅黑" w:hAnsi="微软雅黑" w:eastAsia="微软雅黑" w:cs="微软雅黑"/>
          <w:lang w:val="en-US" w:eastAsia="zh-CN"/>
        </w:rPr>
        <w:fldChar w:fldCharType="begin"/>
      </w:r>
      <w:r>
        <w:rPr>
          <w:rFonts w:hint="eastAsia" w:ascii="微软雅黑" w:hAnsi="微软雅黑" w:eastAsia="微软雅黑" w:cs="微软雅黑"/>
          <w:lang w:val="en-US" w:eastAsia="zh-CN"/>
        </w:rPr>
        <w:instrText xml:space="preserve"> HYPERLINK "mailto:hr@laplace-tech.cn" </w:instrText>
      </w:r>
      <w:r>
        <w:rPr>
          <w:rFonts w:hint="eastAsia" w:ascii="微软雅黑" w:hAnsi="微软雅黑" w:eastAsia="微软雅黑" w:cs="微软雅黑"/>
          <w:lang w:val="en-US" w:eastAsia="zh-CN"/>
        </w:rPr>
        <w:fldChar w:fldCharType="separate"/>
      </w:r>
      <w:r>
        <w:rPr>
          <w:rFonts w:hint="eastAsia" w:ascii="微软雅黑" w:hAnsi="微软雅黑" w:eastAsia="微软雅黑" w:cs="微软雅黑"/>
          <w:lang w:val="en-US" w:eastAsia="zh-CN"/>
        </w:rPr>
        <w:t>hr@laplace-tech.cn</w:t>
      </w:r>
      <w:r>
        <w:rPr>
          <w:rFonts w:hint="eastAsia" w:ascii="微软雅黑" w:hAnsi="微软雅黑" w:eastAsia="微软雅黑" w:cs="微软雅黑"/>
          <w:lang w:val="en-US" w:eastAsia="zh-CN"/>
        </w:rPr>
        <w:fldChar w:fldCharType="end"/>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微软雅黑" w:hAnsi="微软雅黑" w:eastAsia="微软雅黑" w:cs="微软雅黑"/>
          <w:lang w:val="en-US" w:eastAsia="zh-CN"/>
        </w:rPr>
      </w:pPr>
      <w:r>
        <w:rPr>
          <w:rFonts w:hint="eastAsia" w:ascii="微软雅黑" w:hAnsi="微软雅黑" w:eastAsia="微软雅黑" w:cs="微软雅黑"/>
          <w:lang w:val="en-US" w:eastAsia="zh-CN"/>
        </w:rPr>
        <w:t>*文档名称注明：学校+专业+姓名+应聘方向</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2、线下投递：</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宣讲会/校园招聘会现场投递纸质简历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3、网申扫码投递简历：</w:t>
      </w:r>
    </w:p>
    <w:p>
      <w:pPr>
        <w:ind w:firstLine="420" w:firstLineChars="0"/>
        <w:rPr>
          <w:rFonts w:hint="eastAsia" w:ascii="微软雅黑" w:hAnsi="微软雅黑" w:eastAsia="微软雅黑" w:cs="微软雅黑"/>
          <w:lang w:val="en-US" w:eastAsia="zh-CN"/>
        </w:rPr>
      </w:pPr>
      <w:r>
        <w:drawing>
          <wp:inline distT="0" distB="0" distL="114300" distR="114300">
            <wp:extent cx="1450975" cy="1424305"/>
            <wp:effectExtent l="0" t="0" r="6350" b="444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4"/>
                    <a:srcRect r="2350" b="2900"/>
                    <a:stretch>
                      <a:fillRect/>
                    </a:stretch>
                  </pic:blipFill>
                  <pic:spPr>
                    <a:xfrm>
                      <a:off x="0" y="0"/>
                      <a:ext cx="1450975" cy="1424305"/>
                    </a:xfrm>
                    <a:prstGeom prst="rect">
                      <a:avLst/>
                    </a:prstGeom>
                    <a:noFill/>
                    <a:ln>
                      <a:noFill/>
                    </a:ln>
                  </pic:spPr>
                </pic:pic>
              </a:graphicData>
            </a:graphic>
          </wp:inline>
        </w:drawing>
      </w:r>
    </w:p>
    <w:p>
      <w:pPr>
        <w:ind w:firstLine="420" w:firstLineChars="200"/>
        <w:rPr>
          <w:rFonts w:hint="default" w:ascii="微软雅黑" w:hAnsi="微软雅黑" w:eastAsia="微软雅黑" w:cs="微软雅黑"/>
          <w:lang w:val="en-US" w:eastAsia="zh-CN"/>
        </w:rPr>
      </w:pPr>
      <w:r>
        <w:rPr>
          <w:rFonts w:hint="eastAsia" w:ascii="微软雅黑" w:hAnsi="微软雅黑" w:eastAsia="微软雅黑" w:cs="微软雅黑"/>
        </w:rPr>
        <w:t>扫码</w:t>
      </w:r>
      <w:r>
        <w:rPr>
          <w:rFonts w:hint="eastAsia" w:ascii="微软雅黑" w:hAnsi="微软雅黑" w:eastAsia="微软雅黑" w:cs="微软雅黑"/>
          <w:lang w:val="en-US" w:eastAsia="zh-CN"/>
        </w:rPr>
        <w:t>关注招聘公众号</w:t>
      </w:r>
    </w:p>
    <w:p>
      <w:pPr>
        <w:rPr>
          <w:rFonts w:ascii="宋体" w:hAnsi="宋体" w:eastAsia="宋体" w:cs="宋体"/>
          <w:sz w:val="24"/>
          <w:szCs w:val="24"/>
        </w:rPr>
      </w:pPr>
      <w:r>
        <w:rPr>
          <w:rFonts w:hint="eastAsia" w:ascii="微软雅黑" w:hAnsi="微软雅黑" w:eastAsia="微软雅黑" w:cs="微软雅黑"/>
          <w:lang w:val="en-US" w:eastAsia="zh-CN"/>
        </w:rPr>
        <w:t xml:space="preserve">    </w:t>
      </w:r>
      <w:r>
        <w:rPr>
          <w:rFonts w:ascii="宋体" w:hAnsi="宋体" w:eastAsia="宋体" w:cs="宋体"/>
          <w:sz w:val="24"/>
          <w:szCs w:val="24"/>
        </w:rPr>
        <w:drawing>
          <wp:inline distT="0" distB="0" distL="114300" distR="114300">
            <wp:extent cx="1618615" cy="1379220"/>
            <wp:effectExtent l="0" t="0" r="635" b="1905"/>
            <wp:docPr id="4"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IMG_256"/>
                    <pic:cNvPicPr>
                      <a:picLocks noChangeAspect="1"/>
                    </pic:cNvPicPr>
                  </pic:nvPicPr>
                  <pic:blipFill>
                    <a:blip r:embed="rId5"/>
                    <a:stretch>
                      <a:fillRect/>
                    </a:stretch>
                  </pic:blipFill>
                  <pic:spPr>
                    <a:xfrm>
                      <a:off x="0" y="0"/>
                      <a:ext cx="1618615" cy="1379220"/>
                    </a:xfrm>
                    <a:prstGeom prst="rect">
                      <a:avLst/>
                    </a:prstGeom>
                    <a:noFill/>
                    <a:ln w="9525">
                      <a:noFill/>
                    </a:ln>
                  </pic:spPr>
                </pic:pic>
              </a:graphicData>
            </a:graphic>
          </wp:inline>
        </w:drawing>
      </w:r>
    </w:p>
    <w:p>
      <w:pPr>
        <w:rPr>
          <w:rFonts w:hint="eastAsia" w:ascii="宋体" w:hAnsi="宋体" w:eastAsia="宋体" w:cs="宋体"/>
          <w:sz w:val="24"/>
          <w:szCs w:val="24"/>
          <w:lang w:val="en-US" w:eastAsia="zh-CN"/>
        </w:rPr>
      </w:pPr>
      <w:bookmarkStart w:id="0" w:name="_GoBack"/>
      <w:bookmarkEnd w:id="0"/>
    </w:p>
    <w:p>
      <w:pPr>
        <w:ind w:firstLine="630" w:firstLineChars="300"/>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4、联系我们</w:t>
      </w:r>
    </w:p>
    <w:p>
      <w:pPr>
        <w:ind w:firstLine="630" w:firstLineChars="300"/>
        <w:rPr>
          <w:rFonts w:hint="default" w:ascii="微软雅黑" w:hAnsi="微软雅黑" w:eastAsia="微软雅黑" w:cs="微软雅黑"/>
          <w:lang w:val="en-US" w:eastAsia="zh-CN"/>
        </w:rPr>
      </w:pPr>
      <w:r>
        <w:rPr>
          <w:rFonts w:hint="eastAsia" w:ascii="微软雅黑" w:hAnsi="微软雅黑" w:eastAsia="微软雅黑" w:cs="微软雅黑"/>
          <w:lang w:val="en-US" w:eastAsia="zh-CN"/>
        </w:rPr>
        <w:t>公司地址：</w:t>
      </w:r>
      <w:r>
        <w:rPr>
          <w:rFonts w:hint="eastAsia" w:ascii="微软雅黑" w:hAnsi="微软雅黑" w:eastAsia="微软雅黑" w:cs="微软雅黑"/>
          <w:sz w:val="21"/>
          <w:szCs w:val="21"/>
        </w:rPr>
        <w:t>深圳市坪山区坑梓街道吉康路1号</w:t>
      </w:r>
    </w:p>
    <w:p>
      <w:pPr>
        <w:ind w:firstLine="630" w:firstLineChars="300"/>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 xml:space="preserve">*刘女生 电话/微信 </w:t>
      </w:r>
      <w:r>
        <w:rPr>
          <w:rFonts w:hint="eastAsia" w:ascii="微软雅黑" w:hAnsi="微软雅黑" w:eastAsia="微软雅黑" w:cs="微软雅黑"/>
          <w:sz w:val="21"/>
          <w:szCs w:val="21"/>
        </w:rPr>
        <w:t>13118860124</w:t>
      </w:r>
    </w:p>
    <w:p>
      <w:pPr>
        <w:ind w:firstLine="630" w:firstLineChars="300"/>
        <w:rPr>
          <w:rFonts w:hint="default" w:ascii="微软雅黑" w:hAnsi="微软雅黑" w:eastAsia="微软雅黑" w:cs="微软雅黑"/>
          <w:color w:val="FF0000"/>
          <w:lang w:val="en-US" w:eastAsia="zh-CN"/>
        </w:rPr>
      </w:pPr>
      <w:r>
        <w:rPr>
          <w:rFonts w:hint="eastAsia" w:ascii="微软雅黑" w:hAnsi="微软雅黑" w:eastAsia="微软雅黑" w:cs="微软雅黑"/>
          <w:color w:val="FF0000"/>
          <w:lang w:val="en-US" w:eastAsia="zh-CN"/>
        </w:rPr>
        <w:t>*李女士 电话/微信 13940847270</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B251B8"/>
    <w:multiLevelType w:val="singleLevel"/>
    <w:tmpl w:val="C8B251B8"/>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JiMjgwMWM1ZWJjOGM3Y2UyZjJlNmJhYjE5MmQ4ZmIifQ=="/>
  </w:docVars>
  <w:rsids>
    <w:rsidRoot w:val="00000000"/>
    <w:rsid w:val="193C5914"/>
    <w:rsid w:val="26B662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1673</Words>
  <Characters>1811</Characters>
  <Lines>0</Lines>
  <Paragraphs>0</Paragraphs>
  <TotalTime>21</TotalTime>
  <ScaleCrop>false</ScaleCrop>
  <LinksUpToDate>false</LinksUpToDate>
  <CharactersWithSpaces>1827</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2023-09-04T07:18:15Z</dcterms:created>
  <dc:creator>lpls</dc:creator>
  <cp:lastModifiedBy>Y</cp:lastModifiedBy>
  <dcterms:modified xsi:type="dcterms:W3CDTF">2023-09-04T07:41:22Z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95B4A2115FFF4B31A68487F1021F4743_12</vt:lpwstr>
  </property>
</Properties>
</file>