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69" w:tblpY="151"/>
        <w:tblOverlap w:val="never"/>
        <w:tblW w:w="90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690"/>
        <w:gridCol w:w="1582"/>
        <w:gridCol w:w="1381"/>
        <w:gridCol w:w="2928"/>
      </w:tblGrid>
      <w:tr w14:paraId="50E79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3B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ICP-OES 电感耦合等离子体发射光谱仪</w:t>
            </w:r>
          </w:p>
        </w:tc>
      </w:tr>
      <w:tr w14:paraId="75350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4C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0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PerkinKlmer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B3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4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34925</wp:posOffset>
                  </wp:positionV>
                  <wp:extent cx="1899920" cy="1421765"/>
                  <wp:effectExtent l="0" t="0" r="5080" b="6985"/>
                  <wp:wrapNone/>
                  <wp:docPr id="28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1421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78137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E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A8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Avio 220 Max</w:t>
            </w:r>
          </w:p>
        </w:tc>
      </w:tr>
      <w:tr w14:paraId="02457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6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D1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2023年12月</w:t>
            </w:r>
          </w:p>
        </w:tc>
      </w:tr>
      <w:tr w14:paraId="54658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5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121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利用垂直等离子体，可以在不稀释的情况下处理最复杂的高基质样品，提高了生产率和性能，加速产生投资回报。用于ICP的Syngistix™ 软件提供了直观的、智能的环境，可以对仪器和样品诊断的过程进行实时的智能监控和结果查看，很容易跟踪样品的分析情况、质量控制以及内标性能，从而确保样品分析的精确度。</w:t>
            </w:r>
          </w:p>
        </w:tc>
      </w:tr>
      <w:tr w14:paraId="3486E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D2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4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测限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：0.1ppm-10ppm；</w:t>
            </w:r>
            <w:r>
              <w:rPr>
                <w:rStyle w:val="4"/>
                <w:lang w:val="en-US" w:eastAsia="zh-CN" w:bidi="ar"/>
              </w:rPr>
              <w:t>波长范围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：130-900nm；</w:t>
            </w:r>
            <w:r>
              <w:rPr>
                <w:rStyle w:val="4"/>
                <w:lang w:val="en-US" w:eastAsia="zh-CN" w:bidi="ar"/>
              </w:rPr>
              <w:t>分辨率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；≤0.006nm；</w:t>
            </w:r>
            <w:r>
              <w:rPr>
                <w:rStyle w:val="4"/>
                <w:lang w:val="en-US" w:eastAsia="zh-CN" w:bidi="ar"/>
              </w:rPr>
              <w:t>动态线性范围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：可达5-6个数量级，允许高浓度样品无虚稀释；</w:t>
            </w:r>
            <w:r>
              <w:rPr>
                <w:rStyle w:val="4"/>
                <w:lang w:val="en-US" w:eastAsia="zh-CN" w:bidi="ar"/>
              </w:rPr>
              <w:t>分析速度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：一分钟内可分析5个元素；</w:t>
            </w:r>
            <w:r>
              <w:rPr>
                <w:rStyle w:val="4"/>
                <w:lang w:val="en-US" w:eastAsia="zh-CN" w:bidi="ar"/>
              </w:rPr>
              <w:t>稳定性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：15分钟内RSD(相对标准偏差)＜1%，四小时内RSD＜2%；</w:t>
            </w:r>
          </w:p>
        </w:tc>
      </w:tr>
      <w:tr w14:paraId="37F47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66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D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2A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1F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77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BE19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2A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单元素</w:t>
            </w:r>
          </w:p>
          <w:p w14:paraId="1ACAF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样品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97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元/样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01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highlight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0元/样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8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highlight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0/样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AA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21546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82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双元素</w:t>
            </w:r>
          </w:p>
          <w:p w14:paraId="2CB07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样品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6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元/样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44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0元/样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84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0元/样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50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6A5EC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5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三元素</w:t>
            </w:r>
          </w:p>
          <w:p w14:paraId="655C2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样品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F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元/样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45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250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元/样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D1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0元/样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6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99" w:leftChars="-95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超出3个元素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每增加一个，增加收费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t>0元</w:t>
            </w:r>
          </w:p>
        </w:tc>
      </w:tr>
    </w:tbl>
    <w:p w14:paraId="68A2D768"/>
    <w:p w14:paraId="002A6B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3C6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2025-06-18T01:36:35Z</dcterms:created>
  <dc:creator>gl</dc:creator>
  <cp:lastModifiedBy>gl</cp:lastModifiedBy>
  <dcterms:modified xsi:type="dcterms:W3CDTF">2025-06-18T01:36:54Z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9AA613E379C84BB9BC5BAE4C4C55BCED_12</vt:lpwstr>
  </property>
</Properties>
</file>