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62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1"/>
        <w:gridCol w:w="1680"/>
        <w:gridCol w:w="1636"/>
        <w:gridCol w:w="1282"/>
        <w:gridCol w:w="2983"/>
      </w:tblGrid>
      <w:tr w14:paraId="14E906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0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32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  <w:t>三维微流综合测试系统</w:t>
            </w:r>
          </w:p>
        </w:tc>
      </w:tr>
      <w:tr w14:paraId="53395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4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CF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品牌/厂家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E3E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Fluigent</w:t>
            </w: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32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照片</w:t>
            </w:r>
          </w:p>
        </w:tc>
        <w:tc>
          <w:tcPr>
            <w:tcW w:w="4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E0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395605</wp:posOffset>
                  </wp:positionH>
                  <wp:positionV relativeFrom="paragraph">
                    <wp:posOffset>66675</wp:posOffset>
                  </wp:positionV>
                  <wp:extent cx="1412875" cy="1352550"/>
                  <wp:effectExtent l="0" t="0" r="15875" b="0"/>
                  <wp:wrapNone/>
                  <wp:docPr id="70" name="图片_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图片_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2875" cy="1352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0"/>
          </w:p>
        </w:tc>
      </w:tr>
      <w:tr w14:paraId="307ACE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52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型号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37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P-OEM-ULTRA</w:t>
            </w:r>
          </w:p>
        </w:tc>
      </w:tr>
      <w:tr w14:paraId="017652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6E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购置时间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9E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2022年6月</w:t>
            </w:r>
          </w:p>
        </w:tc>
      </w:tr>
      <w:tr w14:paraId="4BCC73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02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设备简介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12C51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420" w:firstLineChars="15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主要用于微流芯片系统的应用开发，结合微流控系统和光操纵、光纤传感的优势，在细胞分析、微流分析等应用流域有广泛应用。</w:t>
            </w:r>
          </w:p>
        </w:tc>
      </w:tr>
      <w:tr w14:paraId="493E2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43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主要技术指标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24C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（1）OB1 MKIII基础模块，可安装四个独立的压力控制阀；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（2）3个压力控制阀，控制范围为0-2000 mbar；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（3）Elveflow Smart Interface控制软件；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（4）15 ml储液池和Falcon盖帽适配件（有2个平底的1/4-28端口）；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（5）2个MFS3流量传感器，测量范围从0 ± 80 </w:t>
            </w:r>
            <w:r>
              <w:rPr>
                <w:rStyle w:val="4"/>
                <w:rFonts w:eastAsia="宋体"/>
                <w:lang w:val="en-US" w:eastAsia="zh-CN" w:bidi="ar"/>
              </w:rPr>
              <w:t>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L/min；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（6）1个MFS4流量传感器，测量范围从0 ± 1000 </w:t>
            </w:r>
            <w:r>
              <w:rPr>
                <w:rStyle w:val="4"/>
                <w:rFonts w:eastAsia="宋体"/>
                <w:lang w:val="en-US" w:eastAsia="zh-CN" w:bidi="ar"/>
              </w:rPr>
              <w:t>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L/min；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（7）10个公鲁尔封口接头，10个公鲁尔转3/32直通；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（8）微流连接器件；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（9）模块化智能图形操作软件；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（10）提供LabVIEW、MATLAB、Python、C++等API接口和SDK开发包；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（11）整套系统可稳定生成直径范围在20微米-200微米的双相乳滴。</w:t>
            </w:r>
          </w:p>
        </w:tc>
      </w:tr>
      <w:tr w14:paraId="368C9C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5A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收费项目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12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院内</w:t>
            </w: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47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院外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CA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校外</w:t>
            </w:r>
          </w:p>
        </w:tc>
        <w:tc>
          <w:tcPr>
            <w:tcW w:w="2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09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1E6C30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C21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流体控制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B9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500元/小时</w:t>
            </w: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449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1000元/小时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33F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1000元/小时</w:t>
            </w:r>
          </w:p>
        </w:tc>
        <w:tc>
          <w:tcPr>
            <w:tcW w:w="2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2A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样品自备</w:t>
            </w:r>
          </w:p>
        </w:tc>
      </w:tr>
    </w:tbl>
    <w:p w14:paraId="25D5AD9B">
      <w:pPr>
        <w:sectPr>
          <w:pgSz w:w="11906" w:h="16838"/>
          <w:pgMar w:top="1440" w:right="1440" w:bottom="1440" w:left="1440" w:header="851" w:footer="992" w:gutter="0"/>
          <w:cols w:space="425" w:num="1"/>
          <w:docGrid w:type="lines" w:linePitch="312" w:charSpace="0"/>
        </w:sectPr>
      </w:pPr>
    </w:p>
    <w:p w14:paraId="4AB9CC1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081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uiPriority w:val="0"/>
    <w:rPr>
      <w:rFonts w:hint="default" w:ascii="Calibri" w:hAnsi="Calibri" w:cs="Calibri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2025-06-18T02:05:14Z</dcterms:created>
  <dc:creator>gl</dc:creator>
  <cp:lastModifiedBy>gl</cp:lastModifiedBy>
  <dcterms:modified xsi:type="dcterms:W3CDTF">2025-06-18T02:05:34Z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eyJoZGlkIjoiODU3NzhhNGVjMGIzY2E4OWE0YzU3MjZlMzQxNjc0ZDMifQ==</vt:lpwstr>
  </property>
  <property fmtid="{D5CDD505-2E9C-101B-9397-08002B2CF9AE}" pid="4" name="ICV">
    <vt:lpwstr>4F510A167BC64D9495C113B9FD33D358_12</vt:lpwstr>
  </property>
</Properties>
</file>