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62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1"/>
        <w:gridCol w:w="1680"/>
        <w:gridCol w:w="1636"/>
        <w:gridCol w:w="1650"/>
        <w:gridCol w:w="2615"/>
      </w:tblGrid>
      <w:tr w14:paraId="4D97F5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06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8A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  <w:t>脉冲激光沉积系统</w:t>
            </w:r>
          </w:p>
        </w:tc>
      </w:tr>
      <w:tr w14:paraId="163552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4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35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品牌/厂家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4F4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北京珀菲特科技有限公司</w:t>
            </w: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25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照片</w:t>
            </w:r>
          </w:p>
        </w:tc>
        <w:tc>
          <w:tcPr>
            <w:tcW w:w="4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22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14525" cy="1435735"/>
                  <wp:effectExtent l="0" t="0" r="9525" b="12065"/>
                  <wp:wrapNone/>
                  <wp:docPr id="66" name="图片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图片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525" cy="1435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End w:id="0"/>
          </w:p>
        </w:tc>
      </w:tr>
      <w:tr w14:paraId="417C64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23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型号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A6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PLD-S35</w:t>
            </w:r>
          </w:p>
        </w:tc>
      </w:tr>
      <w:tr w14:paraId="44ECFE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C0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购置时间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0E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2024年12月</w:t>
            </w:r>
          </w:p>
        </w:tc>
      </w:tr>
      <w:tr w14:paraId="17D41E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2E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设备简介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61DF1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638" w:firstLineChars="228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脉冲激光沉积（Pulsed Laser Deposition，PLD）系统是一种用于薄膜材料制备的先进技术设备，利用高能量脉冲激光束聚焦在靶材上，使靶材表面的材料瞬间吸收激光能量，发生蒸发、电离等过程，形成高温、高密度的等离子体羽辉，并沉积在衬底表面形成薄膜，适用于金属、半导体、氧化物、氮化物等各种材料薄膜的制备，包括一些复杂的多元化合物薄膜。</w:t>
            </w:r>
          </w:p>
        </w:tc>
      </w:tr>
      <w:tr w14:paraId="3F9300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20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主要技术指标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652E6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280" w:firstLineChars="1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（1）系统极限真空度：≤1.0×10^(-5) Pa（经72小时烘烤除气后），短时间暴露大气并充入干燥氮气后，再开始抽气，40分钟可达到5.0×10^(-4) Pa。</w:t>
            </w:r>
          </w:p>
          <w:p w14:paraId="2127BA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280" w:firstLineChars="1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（2）样品台：采用激光加热方式，最高加热温度：1000℃，温度稳定性：±1℃，加热区域直径：16mm。</w:t>
            </w:r>
          </w:p>
          <w:p w14:paraId="531513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280" w:firstLineChars="1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（3）靶台：采用两级磁力耦合旋转机构，4个1英寸靶位，可以自传、公转和摇摆，每个靶托可以单独取放。</w:t>
            </w:r>
          </w:p>
          <w:p w14:paraId="4E495C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280" w:firstLineChars="1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（4）固体激光器：能量：90mJ@266nm。</w:t>
            </w:r>
          </w:p>
        </w:tc>
      </w:tr>
      <w:tr w14:paraId="654945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DA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收费项目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D27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院内</w:t>
            </w: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2BF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院外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F59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校外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766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262A6D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F6B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培训费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5A2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200元/人/次</w:t>
            </w: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FC8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300元/人/次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646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400元/人/次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874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培训通过考核可自习预约使用，培训2次，考核1次</w:t>
            </w:r>
          </w:p>
        </w:tc>
      </w:tr>
      <w:tr w14:paraId="46FBF4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BB7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机时费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ED6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500元/小时</w:t>
            </w: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A19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800元/小时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E7A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1000元/小时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929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计费时间间隔为0.5小时</w:t>
            </w:r>
          </w:p>
        </w:tc>
      </w:tr>
      <w:tr w14:paraId="45459C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E18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材料费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E4B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靶材自备，如使用实验室靶材则按照材料价格另行收费</w:t>
            </w:r>
          </w:p>
        </w:tc>
      </w:tr>
      <w:tr w14:paraId="37C2EE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45D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委托加工费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459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700元/小时</w:t>
            </w: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02D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1100元/小时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B16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1400元/小时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8D7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 w14:paraId="56BEFC60">
      <w:pPr>
        <w:sectPr>
          <w:pgSz w:w="11906" w:h="16838"/>
          <w:pgMar w:top="1440" w:right="1440" w:bottom="1440" w:left="1440" w:header="851" w:footer="992" w:gutter="0"/>
          <w:cols w:space="425" w:num="1"/>
          <w:docGrid w:type="lines" w:linePitch="312" w:charSpace="0"/>
        </w:sectPr>
      </w:pPr>
    </w:p>
    <w:p w14:paraId="4E4A7EE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CB2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2025-06-18T02:03:30Z</dcterms:created>
  <dc:creator>gl</dc:creator>
  <cp:lastModifiedBy>gl</cp:lastModifiedBy>
  <dcterms:modified xsi:type="dcterms:W3CDTF">2025-06-18T02:03:53Z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eyJoZGlkIjoiODU3NzhhNGVjMGIzY2E4OWE0YzU3MjZlMzQxNjc0ZDMifQ==</vt:lpwstr>
  </property>
  <property fmtid="{D5CDD505-2E9C-101B-9397-08002B2CF9AE}" pid="4" name="ICV">
    <vt:lpwstr>EFDFDA611B934BF6A143F77791CCC770_12</vt:lpwstr>
  </property>
</Properties>
</file>