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36" w:lineRule="auto"/>
        <w:jc w:val="center"/>
        <w:textAlignment w:val="auto"/>
        <w:rPr>
          <w:b/>
          <w:bCs/>
          <w:sz w:val="28"/>
          <w:szCs w:val="28"/>
          <w:highlight w:val="none"/>
        </w:rPr>
      </w:pPr>
      <w:r>
        <w:rPr>
          <w:rFonts w:hint="eastAsia"/>
          <w:b/>
          <w:bCs/>
          <w:sz w:val="28"/>
          <w:szCs w:val="28"/>
          <w:highlight w:val="none"/>
          <w:lang w:val="en-US" w:eastAsia="zh-CN"/>
        </w:rPr>
        <w:t>外国语学院</w:t>
      </w:r>
      <w:r>
        <w:rPr>
          <w:rFonts w:hint="eastAsia"/>
          <w:b/>
          <w:bCs/>
          <w:sz w:val="28"/>
          <w:szCs w:val="28"/>
          <w:highlight w:val="none"/>
        </w:rPr>
        <w:t>关于</w:t>
      </w:r>
      <w:r>
        <w:rPr>
          <w:rFonts w:hint="eastAsia"/>
          <w:b/>
          <w:bCs/>
          <w:sz w:val="28"/>
          <w:szCs w:val="28"/>
          <w:highlight w:val="none"/>
          <w:lang w:eastAsia="zh-CN"/>
        </w:rPr>
        <w:t>大学英语</w:t>
      </w:r>
      <w:r>
        <w:rPr>
          <w:rFonts w:hint="eastAsia"/>
          <w:b/>
          <w:bCs/>
          <w:sz w:val="28"/>
          <w:szCs w:val="28"/>
          <w:highlight w:val="none"/>
        </w:rPr>
        <w:t>课程</w:t>
      </w:r>
      <w:r>
        <w:rPr>
          <w:rFonts w:hint="eastAsia"/>
          <w:b/>
          <w:bCs/>
          <w:sz w:val="28"/>
          <w:szCs w:val="28"/>
          <w:highlight w:val="none"/>
          <w:lang w:val="en-US" w:eastAsia="zh-CN"/>
        </w:rPr>
        <w:t>建设</w:t>
      </w:r>
      <w:r>
        <w:rPr>
          <w:rFonts w:hint="eastAsia"/>
          <w:b/>
          <w:bCs/>
          <w:sz w:val="28"/>
          <w:szCs w:val="28"/>
          <w:highlight w:val="none"/>
          <w:lang w:eastAsia="zh-CN"/>
        </w:rPr>
        <w:t>项目申报</w:t>
      </w:r>
      <w:r>
        <w:rPr>
          <w:rFonts w:hint="eastAsia"/>
          <w:b/>
          <w:bCs/>
          <w:sz w:val="28"/>
          <w:szCs w:val="28"/>
          <w:highlight w:val="none"/>
        </w:rPr>
        <w:t>的通知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36" w:lineRule="auto"/>
        <w:ind w:firstLine="480" w:firstLineChars="200"/>
        <w:jc w:val="both"/>
        <w:textAlignment w:val="auto"/>
        <w:rPr>
          <w:rFonts w:hint="eastAsia"/>
          <w:sz w:val="24"/>
          <w:szCs w:val="24"/>
          <w:highlight w:val="none"/>
        </w:rPr>
      </w:pPr>
      <w:r>
        <w:rPr>
          <w:rFonts w:hint="eastAsia"/>
          <w:sz w:val="24"/>
          <w:szCs w:val="24"/>
          <w:highlight w:val="none"/>
          <w:lang w:val="en-US" w:eastAsia="zh-CN"/>
        </w:rPr>
        <w:t>根据</w:t>
      </w:r>
      <w:r>
        <w:rPr>
          <w:rFonts w:hint="eastAsia"/>
          <w:sz w:val="24"/>
          <w:szCs w:val="24"/>
          <w:highlight w:val="none"/>
        </w:rPr>
        <w:t>学校</w:t>
      </w:r>
      <w:r>
        <w:rPr>
          <w:rFonts w:hint="eastAsia"/>
          <w:sz w:val="24"/>
          <w:szCs w:val="24"/>
          <w:highlight w:val="none"/>
          <w:lang w:eastAsia="zh-CN"/>
        </w:rPr>
        <w:t>《</w:t>
      </w:r>
      <w:r>
        <w:rPr>
          <w:rFonts w:ascii="宋体" w:hAnsi="宋体" w:eastAsia="宋体" w:cs="宋体"/>
          <w:sz w:val="24"/>
          <w:szCs w:val="24"/>
          <w:highlight w:val="none"/>
        </w:rPr>
        <w:t>关于启动我校课程建设教育教学改革项目申报工作的通知</w:t>
      </w:r>
      <w:r>
        <w:rPr>
          <w:rFonts w:hint="eastAsia"/>
          <w:sz w:val="24"/>
          <w:szCs w:val="24"/>
          <w:highlight w:val="none"/>
          <w:lang w:eastAsia="zh-CN"/>
        </w:rPr>
        <w:t>》</w:t>
      </w:r>
      <w:r>
        <w:rPr>
          <w:rFonts w:hint="eastAsia"/>
          <w:sz w:val="24"/>
          <w:szCs w:val="24"/>
          <w:highlight w:val="none"/>
          <w:lang w:val="en-US" w:eastAsia="zh-CN"/>
        </w:rPr>
        <w:t>等有关通知、文件</w:t>
      </w:r>
      <w:r>
        <w:rPr>
          <w:rFonts w:hint="eastAsia"/>
          <w:sz w:val="24"/>
          <w:szCs w:val="24"/>
          <w:highlight w:val="none"/>
        </w:rPr>
        <w:t>精神</w:t>
      </w:r>
      <w:r>
        <w:rPr>
          <w:rFonts w:hint="eastAsia"/>
          <w:sz w:val="24"/>
          <w:szCs w:val="24"/>
          <w:highlight w:val="none"/>
          <w:lang w:eastAsia="zh-CN"/>
        </w:rPr>
        <w:t>，为</w:t>
      </w:r>
      <w:r>
        <w:rPr>
          <w:rFonts w:hint="eastAsia"/>
          <w:sz w:val="24"/>
          <w:szCs w:val="24"/>
          <w:highlight w:val="none"/>
          <w:lang w:val="en-US" w:eastAsia="zh-CN"/>
        </w:rPr>
        <w:t>进一步</w:t>
      </w:r>
      <w:r>
        <w:rPr>
          <w:rFonts w:hint="eastAsia"/>
          <w:sz w:val="24"/>
          <w:szCs w:val="24"/>
          <w:highlight w:val="none"/>
        </w:rPr>
        <w:t>落实</w:t>
      </w:r>
      <w:r>
        <w:rPr>
          <w:rFonts w:hint="eastAsia"/>
          <w:sz w:val="24"/>
          <w:szCs w:val="24"/>
          <w:highlight w:val="none"/>
          <w:lang w:val="en-US" w:eastAsia="zh-CN"/>
        </w:rPr>
        <w:t>本科生外语水平提升计划</w:t>
      </w:r>
      <w:r>
        <w:rPr>
          <w:rFonts w:hint="eastAsia"/>
          <w:sz w:val="24"/>
          <w:szCs w:val="24"/>
          <w:highlight w:val="none"/>
        </w:rPr>
        <w:t>，</w:t>
      </w:r>
      <w:r>
        <w:rPr>
          <w:rFonts w:hint="eastAsia"/>
          <w:sz w:val="24"/>
          <w:szCs w:val="24"/>
          <w:highlight w:val="none"/>
          <w:lang w:eastAsia="zh-CN"/>
        </w:rPr>
        <w:t>根据</w:t>
      </w:r>
      <w:r>
        <w:rPr>
          <w:rFonts w:hint="eastAsia"/>
          <w:sz w:val="24"/>
          <w:szCs w:val="24"/>
          <w:highlight w:val="none"/>
          <w:lang w:val="en-US" w:eastAsia="zh-CN"/>
        </w:rPr>
        <w:t>学院大学英语课程建设规划，现决定立项建设一批大学英语课程，旨在落实好</w:t>
      </w:r>
      <w:r>
        <w:rPr>
          <w:rFonts w:hint="eastAsia"/>
          <w:sz w:val="24"/>
          <w:szCs w:val="24"/>
          <w:highlight w:val="none"/>
        </w:rPr>
        <w:t>外国语学</w:t>
      </w:r>
      <w:r>
        <w:rPr>
          <w:rFonts w:hint="eastAsia"/>
          <w:sz w:val="24"/>
          <w:szCs w:val="24"/>
          <w:highlight w:val="none"/>
          <w:lang w:val="en-US" w:eastAsia="zh-CN"/>
        </w:rPr>
        <w:t>院</w:t>
      </w:r>
      <w:r>
        <w:rPr>
          <w:rFonts w:hint="eastAsia"/>
          <w:sz w:val="24"/>
          <w:szCs w:val="24"/>
          <w:highlight w:val="none"/>
        </w:rPr>
        <w:t>“十四五”事业发展规划</w:t>
      </w:r>
      <w:r>
        <w:rPr>
          <w:rFonts w:hint="eastAsia"/>
          <w:sz w:val="24"/>
          <w:szCs w:val="24"/>
          <w:highlight w:val="none"/>
          <w:lang w:eastAsia="zh-CN"/>
        </w:rPr>
        <w:t>，</w:t>
      </w:r>
      <w:r>
        <w:rPr>
          <w:rFonts w:hint="eastAsia"/>
          <w:sz w:val="24"/>
          <w:szCs w:val="24"/>
          <w:highlight w:val="none"/>
        </w:rPr>
        <w:t>推动</w:t>
      </w:r>
      <w:r>
        <w:rPr>
          <w:rFonts w:hint="eastAsia"/>
          <w:sz w:val="24"/>
          <w:szCs w:val="24"/>
          <w:highlight w:val="none"/>
          <w:lang w:val="en-US" w:eastAsia="zh-CN"/>
        </w:rPr>
        <w:t>学院教育教学</w:t>
      </w:r>
      <w:r>
        <w:rPr>
          <w:rFonts w:hint="eastAsia"/>
          <w:sz w:val="24"/>
          <w:szCs w:val="24"/>
          <w:highlight w:val="none"/>
        </w:rPr>
        <w:t>改革</w:t>
      </w:r>
      <w:r>
        <w:rPr>
          <w:rFonts w:hint="eastAsia"/>
          <w:sz w:val="24"/>
          <w:szCs w:val="24"/>
          <w:highlight w:val="none"/>
          <w:lang w:val="en-US" w:eastAsia="zh-CN"/>
        </w:rPr>
        <w:t>工作</w:t>
      </w:r>
      <w:r>
        <w:rPr>
          <w:rFonts w:hint="eastAsia"/>
          <w:sz w:val="24"/>
          <w:szCs w:val="24"/>
          <w:highlight w:val="none"/>
        </w:rPr>
        <w:t>，提升</w:t>
      </w:r>
      <w:r>
        <w:rPr>
          <w:rFonts w:hint="eastAsia"/>
          <w:sz w:val="24"/>
          <w:szCs w:val="24"/>
          <w:highlight w:val="none"/>
          <w:lang w:eastAsia="zh-CN"/>
        </w:rPr>
        <w:t>学校</w:t>
      </w:r>
      <w:r>
        <w:rPr>
          <w:rFonts w:hint="eastAsia"/>
          <w:sz w:val="24"/>
          <w:szCs w:val="24"/>
          <w:highlight w:val="none"/>
        </w:rPr>
        <w:t>人才培养质量。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36" w:lineRule="auto"/>
        <w:ind w:firstLine="482" w:firstLineChars="200"/>
        <w:jc w:val="both"/>
        <w:textAlignment w:val="auto"/>
        <w:rPr>
          <w:rFonts w:hint="eastAsia" w:ascii="宋体" w:hAnsi="宋体" w:eastAsia="宋体" w:cs="宋体"/>
          <w:sz w:val="24"/>
          <w:szCs w:val="24"/>
          <w:highlight w:val="none"/>
          <w:lang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highlight w:val="none"/>
          <w:lang w:eastAsia="zh-CN"/>
        </w:rPr>
        <w:t>课程建设目标</w:t>
      </w:r>
      <w:r>
        <w:rPr>
          <w:rFonts w:hint="eastAsia" w:ascii="宋体" w:hAnsi="宋体" w:eastAsia="宋体" w:cs="宋体"/>
          <w:sz w:val="24"/>
          <w:szCs w:val="24"/>
          <w:highlight w:val="none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36" w:lineRule="auto"/>
        <w:ind w:firstLine="420" w:firstLineChars="0"/>
        <w:jc w:val="both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  <w:t>提高学生英语听、说、读、写、译等语言综合应用能力；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36" w:lineRule="auto"/>
        <w:ind w:left="0" w:leftChars="0" w:firstLine="420" w:firstLineChars="0"/>
        <w:jc w:val="both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  <w:t>培养学生在学术或职业领域进行国际交流的相关能力；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36" w:lineRule="auto"/>
        <w:ind w:left="0" w:leftChars="0" w:firstLine="420" w:firstLineChars="0"/>
        <w:jc w:val="both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  <w:t>培养学生跨文化交际能力；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36" w:lineRule="auto"/>
        <w:ind w:left="0" w:leftChars="0" w:firstLine="420" w:firstLineChars="0"/>
        <w:jc w:val="both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  <w:t>培养学生对中国文化的理解和阐释能力，服务中国文化对外传播。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36" w:lineRule="auto"/>
        <w:ind w:left="0" w:leftChars="0" w:firstLine="482" w:firstLineChars="200"/>
        <w:jc w:val="both"/>
        <w:textAlignment w:val="auto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课程设置：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36" w:lineRule="auto"/>
        <w:ind w:firstLine="420" w:firstLineChars="0"/>
        <w:jc w:val="both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大学英语教学主体内容分为</w:t>
      </w:r>
      <w:r>
        <w:rPr>
          <w:rFonts w:hint="eastAsia" w:ascii="宋体" w:hAnsi="宋体" w:eastAsia="宋体" w:cs="宋体"/>
          <w:b/>
          <w:bCs/>
          <w:sz w:val="24"/>
          <w:szCs w:val="24"/>
        </w:rPr>
        <w:t>通用英语、专门用途英语和跨文化交际</w:t>
      </w:r>
      <w:r>
        <w:rPr>
          <w:rFonts w:hint="eastAsia" w:ascii="宋体" w:hAnsi="宋体" w:eastAsia="宋体" w:cs="宋体"/>
          <w:sz w:val="24"/>
          <w:szCs w:val="24"/>
        </w:rPr>
        <w:t>三个部分，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按照</w:t>
      </w:r>
      <w:r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  <w:t>基础、提高、发展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等三个目标级别，结合我校实际，具体设置如下：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36" w:lineRule="auto"/>
        <w:ind w:firstLine="420" w:firstLineChars="0"/>
        <w:jc w:val="both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基础阶段课程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36" w:lineRule="auto"/>
        <w:ind w:firstLine="420" w:firstLineChars="0"/>
        <w:jc w:val="both"/>
        <w:textAlignment w:val="auto"/>
        <w:rPr>
          <w:rFonts w:hint="default" w:asciiTheme="minorEastAsia" w:hAnsiTheme="minorEastAsia" w:cstheme="minorEastAsia"/>
          <w:color w:val="auto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通用英语</w:t>
      </w:r>
      <w:r>
        <w:rPr>
          <w:rFonts w:hint="eastAsia" w:asciiTheme="minorEastAsia" w:hAnsiTheme="minorEastAsia" w:cstheme="minorEastAsia"/>
          <w:sz w:val="24"/>
          <w:szCs w:val="24"/>
          <w:lang w:eastAsia="zh-CN"/>
        </w:rPr>
        <w:t>：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大学英语1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eastAsia="zh-CN"/>
        </w:rPr>
        <w:t>、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大学英语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val="en-US" w:eastAsia="zh-CN"/>
        </w:rPr>
        <w:t>2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eastAsia="zh-CN"/>
        </w:rPr>
        <w:t>、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大学英语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val="en-US" w:eastAsia="zh-CN"/>
        </w:rPr>
        <w:t>3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eastAsia="zh-CN"/>
        </w:rPr>
        <w:t>、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大学英语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val="en-US" w:eastAsia="zh-CN"/>
        </w:rPr>
        <w:t>4</w:t>
      </w:r>
      <w:r>
        <w:rPr>
          <w:rFonts w:hint="eastAsia" w:asciiTheme="minorEastAsia" w:hAnsiTheme="minorEastAsia" w:cstheme="minorEastAsia"/>
          <w:color w:val="auto"/>
          <w:sz w:val="24"/>
          <w:szCs w:val="24"/>
          <w:lang w:val="en-US" w:eastAsia="zh-CN"/>
        </w:rPr>
        <w:t>等4门课程。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36" w:lineRule="auto"/>
        <w:ind w:left="0" w:leftChars="0" w:firstLine="420" w:firstLineChars="0"/>
        <w:jc w:val="both"/>
        <w:textAlignment w:val="auto"/>
        <w:rPr>
          <w:rFonts w:hint="eastAsia" w:asciiTheme="minorEastAsia" w:hAnsiTheme="minorEastAsia" w:cstheme="minorEastAsia"/>
          <w:color w:val="auto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color w:val="auto"/>
          <w:sz w:val="24"/>
          <w:szCs w:val="24"/>
          <w:lang w:val="en-US" w:eastAsia="zh-CN"/>
        </w:rPr>
        <w:t>提高阶段课程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36" w:lineRule="auto"/>
        <w:ind w:firstLine="420" w:firstLineChars="0"/>
        <w:jc w:val="both"/>
        <w:textAlignment w:val="auto"/>
        <w:rPr>
          <w:rFonts w:hint="eastAsia" w:asciiTheme="minorEastAsia" w:hAnsiTheme="minorEastAsia" w:cstheme="minorEastAsia"/>
          <w:color w:val="auto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color w:val="auto"/>
          <w:sz w:val="24"/>
          <w:szCs w:val="24"/>
          <w:lang w:val="en-US" w:eastAsia="zh-CN"/>
        </w:rPr>
        <w:t>通用英语高阶课程：高级英语口语（雅思）、高级英语听力（雅思）、高级英语阅读（雅思）、高级英语写作（雅思）。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36" w:lineRule="auto"/>
        <w:ind w:firstLine="420" w:firstLineChars="0"/>
        <w:jc w:val="both"/>
        <w:textAlignment w:val="auto"/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val="en-US" w:eastAsia="zh-CN"/>
        </w:rPr>
        <w:t>专门用途英语</w:t>
      </w:r>
      <w:r>
        <w:rPr>
          <w:rFonts w:hint="eastAsia" w:asciiTheme="minorEastAsia" w:hAnsiTheme="minorEastAsia" w:cstheme="minorEastAsia"/>
          <w:color w:val="auto"/>
          <w:sz w:val="24"/>
          <w:szCs w:val="24"/>
          <w:lang w:val="en-US" w:eastAsia="zh-CN"/>
        </w:rPr>
        <w:t>高阶课程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val="en-US" w:eastAsia="zh-CN"/>
        </w:rPr>
        <w:t>：</w:t>
      </w:r>
      <w:r>
        <w:rPr>
          <w:rFonts w:hint="eastAsia" w:asciiTheme="minorEastAsia" w:hAnsiTheme="minorEastAsia" w:cstheme="minorEastAsia"/>
          <w:color w:val="auto"/>
          <w:sz w:val="24"/>
          <w:szCs w:val="24"/>
          <w:lang w:val="en-US" w:eastAsia="zh-CN"/>
        </w:rPr>
        <w:t>职场英语、国际工程管理英文写作、商务英语视听说、学术交流英语等。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36" w:lineRule="auto"/>
        <w:ind w:firstLine="420" w:firstLineChars="0"/>
        <w:jc w:val="both"/>
        <w:textAlignment w:val="auto"/>
        <w:rPr>
          <w:rFonts w:hint="eastAsia" w:asciiTheme="minorEastAsia" w:hAnsiTheme="minorEastAsia" w:cstheme="minorEastAsia"/>
          <w:color w:val="auto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color w:val="auto"/>
          <w:sz w:val="24"/>
          <w:szCs w:val="24"/>
          <w:lang w:val="en-US" w:eastAsia="zh-CN"/>
        </w:rPr>
        <w:t>跨文化交际高阶课程：跨文化交际、英美影视文化赏析、中国文化英译、国际商务礼仪等。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36" w:lineRule="auto"/>
        <w:ind w:left="0" w:leftChars="0" w:firstLine="420" w:firstLineChars="0"/>
        <w:jc w:val="both"/>
        <w:textAlignment w:val="auto"/>
        <w:rPr>
          <w:rFonts w:hint="eastAsia" w:asciiTheme="minorEastAsia" w:hAnsiTheme="minorEastAsia" w:cstheme="minorEastAsia"/>
          <w:color w:val="auto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color w:val="auto"/>
          <w:sz w:val="24"/>
          <w:szCs w:val="24"/>
          <w:lang w:val="en-US" w:eastAsia="zh-CN"/>
        </w:rPr>
        <w:t>发展阶段课程</w:t>
      </w:r>
    </w:p>
    <w:p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36" w:lineRule="auto"/>
        <w:ind w:left="420" w:leftChars="0"/>
        <w:jc w:val="both"/>
        <w:textAlignment w:val="auto"/>
        <w:rPr>
          <w:rFonts w:hint="eastAsia" w:asciiTheme="minorEastAsia" w:hAnsiTheme="minorEastAsia" w:cstheme="minorEastAsia"/>
          <w:color w:val="auto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color w:val="auto"/>
          <w:sz w:val="24"/>
          <w:szCs w:val="24"/>
          <w:lang w:val="en-US" w:eastAsia="zh-CN"/>
        </w:rPr>
        <w:t>依托“高层次国际化人才培养创新实践项目”修读课程。</w:t>
      </w:r>
    </w:p>
    <w:p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36" w:lineRule="auto"/>
        <w:ind w:left="420" w:leftChars="0" w:firstLine="0" w:firstLineChars="0"/>
        <w:jc w:val="both"/>
        <w:textAlignment w:val="auto"/>
        <w:rPr>
          <w:rFonts w:hint="eastAsia" w:asciiTheme="minorEastAsia" w:hAnsiTheme="minorEastAsia" w:cstheme="minorEastAsia"/>
          <w:color w:val="auto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color w:val="auto"/>
          <w:sz w:val="24"/>
          <w:szCs w:val="24"/>
          <w:lang w:val="en-US" w:eastAsia="zh-CN"/>
        </w:rPr>
        <w:t>日语、德育、法语、泰语、越南语等第二、第三外语课程。</w:t>
      </w:r>
    </w:p>
    <w:p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36" w:lineRule="auto"/>
        <w:ind w:left="420" w:leftChars="0" w:firstLine="0" w:firstLineChars="0"/>
        <w:jc w:val="both"/>
        <w:textAlignment w:val="auto"/>
        <w:rPr>
          <w:rFonts w:hint="eastAsia" w:asciiTheme="minorEastAsia" w:hAnsiTheme="minorEastAsia" w:cstheme="minorEastAsia"/>
          <w:color w:val="auto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color w:val="auto"/>
          <w:sz w:val="24"/>
          <w:szCs w:val="24"/>
          <w:lang w:val="en-US" w:eastAsia="zh-CN"/>
        </w:rPr>
        <w:t>修读英语专业微专业、辅修专业、第二学位等。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36" w:lineRule="auto"/>
        <w:ind w:left="0" w:leftChars="0" w:firstLine="420" w:firstLineChars="0"/>
        <w:jc w:val="both"/>
        <w:textAlignment w:val="auto"/>
        <w:rPr>
          <w:rFonts w:hint="default" w:asciiTheme="minorEastAsia" w:hAnsiTheme="minorEastAsia" w:cstheme="minorEastAsia"/>
          <w:color w:val="auto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color w:val="auto"/>
          <w:sz w:val="24"/>
          <w:szCs w:val="24"/>
          <w:lang w:val="en-US" w:eastAsia="zh-CN"/>
        </w:rPr>
        <w:t>实用辅导课程</w:t>
      </w:r>
    </w:p>
    <w:p>
      <w:pPr>
        <w:keepNext w:val="0"/>
        <w:keepLines w:val="0"/>
        <w:pageBreakBefore w:val="0"/>
        <w:widowControl w:val="0"/>
        <w:numPr>
          <w:ilvl w:val="0"/>
          <w:numId w:val="6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36" w:lineRule="auto"/>
        <w:ind w:left="420" w:leftChars="0"/>
        <w:jc w:val="both"/>
        <w:textAlignment w:val="auto"/>
        <w:rPr>
          <w:rFonts w:hint="eastAsia" w:asciiTheme="minorEastAsia" w:hAnsiTheme="minorEastAsia" w:cstheme="minorEastAsia"/>
          <w:color w:val="auto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color w:val="auto"/>
          <w:sz w:val="24"/>
          <w:szCs w:val="24"/>
          <w:lang w:val="en-US" w:eastAsia="zh-CN"/>
        </w:rPr>
        <w:t>大学英语测试1（四级）</w:t>
      </w:r>
    </w:p>
    <w:p>
      <w:pPr>
        <w:keepNext w:val="0"/>
        <w:keepLines w:val="0"/>
        <w:pageBreakBefore w:val="0"/>
        <w:widowControl w:val="0"/>
        <w:numPr>
          <w:ilvl w:val="0"/>
          <w:numId w:val="6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36" w:lineRule="auto"/>
        <w:ind w:left="420" w:leftChars="0"/>
        <w:jc w:val="both"/>
        <w:textAlignment w:val="auto"/>
        <w:rPr>
          <w:rFonts w:hint="default" w:asciiTheme="minorEastAsia" w:hAnsiTheme="minorEastAsia" w:cstheme="minorEastAsia"/>
          <w:color w:val="auto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color w:val="auto"/>
          <w:sz w:val="24"/>
          <w:szCs w:val="24"/>
          <w:lang w:val="en-US" w:eastAsia="zh-CN"/>
        </w:rPr>
        <w:t>大学英语测试2（六级）</w:t>
      </w:r>
    </w:p>
    <w:p>
      <w:pPr>
        <w:keepNext w:val="0"/>
        <w:keepLines w:val="0"/>
        <w:pageBreakBefore w:val="0"/>
        <w:widowControl w:val="0"/>
        <w:numPr>
          <w:ilvl w:val="0"/>
          <w:numId w:val="6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36" w:lineRule="auto"/>
        <w:ind w:left="420" w:leftChars="0"/>
        <w:jc w:val="both"/>
        <w:textAlignment w:val="auto"/>
        <w:rPr>
          <w:rFonts w:hint="default" w:asciiTheme="minorEastAsia" w:hAnsiTheme="minorEastAsia" w:cstheme="minorEastAsia"/>
          <w:color w:val="auto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color w:val="auto"/>
          <w:sz w:val="24"/>
          <w:szCs w:val="24"/>
          <w:lang w:val="en-US" w:eastAsia="zh-CN"/>
        </w:rPr>
        <w:t>高级英语测试（考研）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36" w:lineRule="auto"/>
        <w:jc w:val="both"/>
        <w:textAlignment w:val="auto"/>
        <w:rPr>
          <w:rFonts w:hint="default" w:asciiTheme="minorEastAsia" w:hAnsiTheme="minorEastAsia" w:cstheme="minorEastAsia"/>
          <w:color w:val="auto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36" w:lineRule="auto"/>
        <w:ind w:left="0" w:leftChars="0" w:firstLine="482" w:firstLineChars="200"/>
        <w:textAlignment w:val="auto"/>
        <w:rPr>
          <w:rFonts w:hint="default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立项计划</w:t>
      </w:r>
    </w:p>
    <w:tbl>
      <w:tblPr>
        <w:tblStyle w:val="3"/>
        <w:tblW w:w="884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5"/>
        <w:gridCol w:w="1243"/>
        <w:gridCol w:w="2550"/>
        <w:gridCol w:w="1221"/>
        <w:gridCol w:w="1811"/>
        <w:gridCol w:w="1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38" w:type="dxa"/>
            <w:gridSpan w:val="2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6" w:lineRule="auto"/>
              <w:ind w:firstLine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  <w:t>课程类别</w:t>
            </w:r>
          </w:p>
        </w:tc>
        <w:tc>
          <w:tcPr>
            <w:tcW w:w="2550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6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1"/>
                <w:szCs w:val="21"/>
                <w:highlight w:val="none"/>
              </w:rPr>
              <w:t>课程名称</w:t>
            </w:r>
          </w:p>
        </w:tc>
        <w:tc>
          <w:tcPr>
            <w:tcW w:w="1221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6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建设类别</w:t>
            </w:r>
          </w:p>
        </w:tc>
        <w:tc>
          <w:tcPr>
            <w:tcW w:w="1811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6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  <w:t>开课时间</w:t>
            </w:r>
          </w:p>
        </w:tc>
        <w:tc>
          <w:tcPr>
            <w:tcW w:w="1522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6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38" w:type="dxa"/>
            <w:gridSpan w:val="2"/>
            <w:vMerge w:val="restart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6" w:lineRule="auto"/>
              <w:ind w:firstLine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eastAsia="zh-CN"/>
              </w:rPr>
              <w:t>基础阶段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6" w:lineRule="auto"/>
              <w:ind w:firstLine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  <w:t>4门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eastAsia="zh-CN"/>
              </w:rPr>
              <w:t>）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6" w:lineRule="auto"/>
              <w:ind w:firstLine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2550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6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</w:rPr>
              <w:t>大学英语1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eastAsia="zh-CN"/>
              </w:rPr>
              <w:t>（区一流课程）</w:t>
            </w:r>
          </w:p>
        </w:tc>
        <w:tc>
          <w:tcPr>
            <w:tcW w:w="1221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6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eastAsia="zh-CN"/>
              </w:rPr>
              <w:t>持续建设</w:t>
            </w:r>
          </w:p>
        </w:tc>
        <w:tc>
          <w:tcPr>
            <w:tcW w:w="1811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6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  <w:t>已开设</w:t>
            </w:r>
          </w:p>
        </w:tc>
        <w:tc>
          <w:tcPr>
            <w:tcW w:w="1522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6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38" w:type="dxa"/>
            <w:gridSpan w:val="2"/>
            <w:vMerge w:val="continue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6" w:lineRule="auto"/>
              <w:ind w:firstLine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2550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6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</w:rPr>
              <w:t>大学英语2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eastAsia="zh-CN"/>
              </w:rPr>
              <w:t>（区一流课程）</w:t>
            </w:r>
          </w:p>
        </w:tc>
        <w:tc>
          <w:tcPr>
            <w:tcW w:w="1221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6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eastAsia="zh-CN"/>
              </w:rPr>
              <w:t>持续建设</w:t>
            </w:r>
          </w:p>
        </w:tc>
        <w:tc>
          <w:tcPr>
            <w:tcW w:w="1811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6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  <w:t>已开设</w:t>
            </w:r>
          </w:p>
        </w:tc>
        <w:tc>
          <w:tcPr>
            <w:tcW w:w="1522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6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38" w:type="dxa"/>
            <w:gridSpan w:val="2"/>
            <w:vMerge w:val="continue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6" w:lineRule="auto"/>
              <w:ind w:firstLine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2550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6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</w:rPr>
              <w:t>大学英语3</w:t>
            </w:r>
          </w:p>
        </w:tc>
        <w:tc>
          <w:tcPr>
            <w:tcW w:w="1221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6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eastAsia="zh-CN"/>
              </w:rPr>
              <w:t>立项建设</w:t>
            </w:r>
          </w:p>
        </w:tc>
        <w:tc>
          <w:tcPr>
            <w:tcW w:w="1811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6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  <w:t>已开设</w:t>
            </w:r>
          </w:p>
        </w:tc>
        <w:tc>
          <w:tcPr>
            <w:tcW w:w="1522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6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eastAsia="zh-CN"/>
              </w:rPr>
              <w:t>推荐校级立项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38" w:type="dxa"/>
            <w:gridSpan w:val="2"/>
            <w:vMerge w:val="continue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6" w:lineRule="auto"/>
              <w:ind w:firstLine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2550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6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</w:rPr>
              <w:t>大学英语4</w:t>
            </w:r>
          </w:p>
        </w:tc>
        <w:tc>
          <w:tcPr>
            <w:tcW w:w="1221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6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eastAsia="zh-CN"/>
              </w:rPr>
              <w:t>立项建设</w:t>
            </w:r>
          </w:p>
        </w:tc>
        <w:tc>
          <w:tcPr>
            <w:tcW w:w="1811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6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  <w:t>已开设</w:t>
            </w:r>
          </w:p>
        </w:tc>
        <w:tc>
          <w:tcPr>
            <w:tcW w:w="1522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6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eastAsia="zh-CN"/>
              </w:rPr>
              <w:t>推荐校级立项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5" w:type="dxa"/>
            <w:vMerge w:val="restart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6" w:lineRule="auto"/>
              <w:ind w:firstLine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eastAsia="zh-CN"/>
              </w:rPr>
              <w:t>提高阶段</w:t>
            </w:r>
          </w:p>
        </w:tc>
        <w:tc>
          <w:tcPr>
            <w:tcW w:w="1243" w:type="dxa"/>
            <w:vMerge w:val="restart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6" w:lineRule="auto"/>
              <w:ind w:firstLine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eastAsia="zh-CN"/>
              </w:rPr>
              <w:t>通用英语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6" w:lineRule="auto"/>
              <w:ind w:firstLine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  <w:t>4门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eastAsia="zh-CN"/>
              </w:rPr>
              <w:t>）</w:t>
            </w:r>
          </w:p>
        </w:tc>
        <w:tc>
          <w:tcPr>
            <w:tcW w:w="2550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6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  <w:t>高级英语口语（雅思）</w:t>
            </w:r>
          </w:p>
        </w:tc>
        <w:tc>
          <w:tcPr>
            <w:tcW w:w="1221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6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eastAsia="zh-CN"/>
              </w:rPr>
              <w:t>立项建设</w:t>
            </w:r>
          </w:p>
        </w:tc>
        <w:tc>
          <w:tcPr>
            <w:tcW w:w="1811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6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  <w:t>2023年秋季学期</w:t>
            </w:r>
          </w:p>
        </w:tc>
        <w:tc>
          <w:tcPr>
            <w:tcW w:w="1522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6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5" w:type="dxa"/>
            <w:vMerge w:val="continue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6" w:lineRule="auto"/>
              <w:ind w:firstLine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1243" w:type="dxa"/>
            <w:vMerge w:val="continue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6" w:lineRule="auto"/>
              <w:ind w:firstLine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2550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6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  <w:t>高级英语听力（雅思）</w:t>
            </w:r>
          </w:p>
        </w:tc>
        <w:tc>
          <w:tcPr>
            <w:tcW w:w="1221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6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eastAsia="zh-CN"/>
              </w:rPr>
              <w:t>立项建设</w:t>
            </w:r>
          </w:p>
        </w:tc>
        <w:tc>
          <w:tcPr>
            <w:tcW w:w="1811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6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  <w:t>2023年秋季学期</w:t>
            </w:r>
          </w:p>
        </w:tc>
        <w:tc>
          <w:tcPr>
            <w:tcW w:w="1522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6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5" w:type="dxa"/>
            <w:vMerge w:val="continue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6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243" w:type="dxa"/>
            <w:vMerge w:val="continue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6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2550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6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  <w:t>高级英语阅读（雅思）</w:t>
            </w:r>
          </w:p>
        </w:tc>
        <w:tc>
          <w:tcPr>
            <w:tcW w:w="1221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6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eastAsia="zh-CN"/>
              </w:rPr>
              <w:t>立项建设</w:t>
            </w:r>
          </w:p>
        </w:tc>
        <w:tc>
          <w:tcPr>
            <w:tcW w:w="1811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6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  <w:t>2023年秋季学期</w:t>
            </w:r>
          </w:p>
        </w:tc>
        <w:tc>
          <w:tcPr>
            <w:tcW w:w="1522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6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5" w:type="dxa"/>
            <w:vMerge w:val="continue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6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243" w:type="dxa"/>
            <w:vMerge w:val="continue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6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2550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6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  <w:t>高级英语写作（雅思）</w:t>
            </w:r>
          </w:p>
        </w:tc>
        <w:tc>
          <w:tcPr>
            <w:tcW w:w="1221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6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eastAsia="zh-CN"/>
              </w:rPr>
              <w:t>立项建设</w:t>
            </w:r>
          </w:p>
        </w:tc>
        <w:tc>
          <w:tcPr>
            <w:tcW w:w="1811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6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  <w:t>2023年秋季学期</w:t>
            </w:r>
          </w:p>
        </w:tc>
        <w:tc>
          <w:tcPr>
            <w:tcW w:w="1522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6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5" w:type="dxa"/>
            <w:vMerge w:val="continue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6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1243" w:type="dxa"/>
            <w:vMerge w:val="restart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6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  <w:t>专门用途英语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6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  <w:t>（4门）</w:t>
            </w:r>
          </w:p>
        </w:tc>
        <w:tc>
          <w:tcPr>
            <w:tcW w:w="2550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6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  <w:t>职场英语</w:t>
            </w:r>
          </w:p>
        </w:tc>
        <w:tc>
          <w:tcPr>
            <w:tcW w:w="1221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6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eastAsia="zh-CN"/>
              </w:rPr>
              <w:t>持续建设</w:t>
            </w:r>
          </w:p>
        </w:tc>
        <w:tc>
          <w:tcPr>
            <w:tcW w:w="1811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6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  <w:t>已开设</w:t>
            </w:r>
          </w:p>
        </w:tc>
        <w:tc>
          <w:tcPr>
            <w:tcW w:w="1522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6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5" w:type="dxa"/>
            <w:vMerge w:val="continue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6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1243" w:type="dxa"/>
            <w:vMerge w:val="continue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6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2550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6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  <w:t>国际工程管理英文写作</w:t>
            </w:r>
          </w:p>
        </w:tc>
        <w:tc>
          <w:tcPr>
            <w:tcW w:w="1221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6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eastAsia="zh-CN"/>
              </w:rPr>
              <w:t>持续建设</w:t>
            </w:r>
          </w:p>
        </w:tc>
        <w:tc>
          <w:tcPr>
            <w:tcW w:w="1811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6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  <w:t>已开设</w:t>
            </w:r>
          </w:p>
        </w:tc>
        <w:tc>
          <w:tcPr>
            <w:tcW w:w="1522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6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5" w:type="dxa"/>
            <w:vMerge w:val="continue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6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1243" w:type="dxa"/>
            <w:vMerge w:val="continue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6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2550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6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  <w:t>商务英语视听说（拟）</w:t>
            </w:r>
          </w:p>
        </w:tc>
        <w:tc>
          <w:tcPr>
            <w:tcW w:w="1221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6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eastAsia="zh-CN"/>
              </w:rPr>
              <w:t>立项建设</w:t>
            </w:r>
          </w:p>
        </w:tc>
        <w:tc>
          <w:tcPr>
            <w:tcW w:w="1811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6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  <w:t>2023年秋季学期</w:t>
            </w:r>
          </w:p>
        </w:tc>
        <w:tc>
          <w:tcPr>
            <w:tcW w:w="1522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6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5" w:type="dxa"/>
            <w:vMerge w:val="continue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6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1243" w:type="dxa"/>
            <w:vMerge w:val="continue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6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2550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6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  <w:t>学术交流英语（拟）</w:t>
            </w:r>
          </w:p>
        </w:tc>
        <w:tc>
          <w:tcPr>
            <w:tcW w:w="1221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6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eastAsia="zh-CN"/>
              </w:rPr>
              <w:t>立项建设</w:t>
            </w:r>
          </w:p>
        </w:tc>
        <w:tc>
          <w:tcPr>
            <w:tcW w:w="1811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6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  <w:t>2023年秋季学期</w:t>
            </w:r>
          </w:p>
        </w:tc>
        <w:tc>
          <w:tcPr>
            <w:tcW w:w="1522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6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5" w:type="dxa"/>
            <w:vMerge w:val="continue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6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1243" w:type="dxa"/>
            <w:vMerge w:val="restart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6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  <w:t>跨文化交际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6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  <w:t>（4门）</w:t>
            </w:r>
          </w:p>
        </w:tc>
        <w:tc>
          <w:tcPr>
            <w:tcW w:w="2550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6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  <w:t>跨文化交际（区一流课程）</w:t>
            </w:r>
          </w:p>
        </w:tc>
        <w:tc>
          <w:tcPr>
            <w:tcW w:w="1221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6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eastAsia="zh-CN"/>
              </w:rPr>
              <w:t>持续建设</w:t>
            </w:r>
          </w:p>
        </w:tc>
        <w:tc>
          <w:tcPr>
            <w:tcW w:w="1811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6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  <w:t>已开设</w:t>
            </w:r>
          </w:p>
        </w:tc>
        <w:tc>
          <w:tcPr>
            <w:tcW w:w="1522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6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5" w:type="dxa"/>
            <w:vMerge w:val="continue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6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1243" w:type="dxa"/>
            <w:vMerge w:val="continue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6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2550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6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  <w:t>英美影视文化赏析（拟）</w:t>
            </w:r>
          </w:p>
        </w:tc>
        <w:tc>
          <w:tcPr>
            <w:tcW w:w="1221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6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eastAsia="zh-CN"/>
              </w:rPr>
              <w:t>立项建设</w:t>
            </w:r>
          </w:p>
        </w:tc>
        <w:tc>
          <w:tcPr>
            <w:tcW w:w="1811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6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  <w:t>2023年秋季学期</w:t>
            </w:r>
          </w:p>
        </w:tc>
        <w:tc>
          <w:tcPr>
            <w:tcW w:w="1522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6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5" w:type="dxa"/>
            <w:vMerge w:val="continue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6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1243" w:type="dxa"/>
            <w:vMerge w:val="continue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6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2550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6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  <w:t>中国文化英译（拟）</w:t>
            </w:r>
          </w:p>
        </w:tc>
        <w:tc>
          <w:tcPr>
            <w:tcW w:w="1221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6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eastAsia="zh-CN"/>
              </w:rPr>
              <w:t>立项建设</w:t>
            </w:r>
          </w:p>
        </w:tc>
        <w:tc>
          <w:tcPr>
            <w:tcW w:w="1811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6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  <w:t>2023年秋季学期</w:t>
            </w:r>
          </w:p>
        </w:tc>
        <w:tc>
          <w:tcPr>
            <w:tcW w:w="1522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6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5" w:type="dxa"/>
            <w:vMerge w:val="continue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6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1243" w:type="dxa"/>
            <w:vMerge w:val="continue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6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2550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6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  <w:t>国际商务礼仪（拟）</w:t>
            </w:r>
          </w:p>
        </w:tc>
        <w:tc>
          <w:tcPr>
            <w:tcW w:w="1221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6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eastAsia="zh-CN"/>
              </w:rPr>
              <w:t>立项建设</w:t>
            </w:r>
          </w:p>
        </w:tc>
        <w:tc>
          <w:tcPr>
            <w:tcW w:w="1811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6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  <w:t>2023年秋季学期</w:t>
            </w:r>
          </w:p>
        </w:tc>
        <w:tc>
          <w:tcPr>
            <w:tcW w:w="1522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6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38" w:type="dxa"/>
            <w:gridSpan w:val="2"/>
            <w:vMerge w:val="restart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6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  <w:t>实用辅导课程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6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  <w:t>（3门）</w:t>
            </w:r>
          </w:p>
        </w:tc>
        <w:tc>
          <w:tcPr>
            <w:tcW w:w="2550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6" w:lineRule="auto"/>
              <w:ind w:firstLine="0" w:firstLineChars="0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  <w:t>大学英语测试1(四级）</w:t>
            </w:r>
          </w:p>
        </w:tc>
        <w:tc>
          <w:tcPr>
            <w:tcW w:w="1221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6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eastAsia="zh-CN"/>
              </w:rPr>
              <w:t>立项建设</w:t>
            </w:r>
          </w:p>
        </w:tc>
        <w:tc>
          <w:tcPr>
            <w:tcW w:w="1811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6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  <w:t>2023年春季学期</w:t>
            </w:r>
          </w:p>
        </w:tc>
        <w:tc>
          <w:tcPr>
            <w:tcW w:w="1522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6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eastAsia="zh-CN"/>
              </w:rPr>
              <w:t>推荐校级立项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38" w:type="dxa"/>
            <w:gridSpan w:val="2"/>
            <w:vMerge w:val="continue"/>
            <w:tcBorders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6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2550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6" w:lineRule="auto"/>
              <w:ind w:firstLine="0" w:firstLineChars="0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  <w:t>大学英语测试2（六级）</w:t>
            </w:r>
          </w:p>
        </w:tc>
        <w:tc>
          <w:tcPr>
            <w:tcW w:w="1221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6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eastAsia="zh-CN"/>
              </w:rPr>
              <w:t>立项建设</w:t>
            </w:r>
          </w:p>
        </w:tc>
        <w:tc>
          <w:tcPr>
            <w:tcW w:w="1811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6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  <w:t>2023年春季学期</w:t>
            </w:r>
          </w:p>
        </w:tc>
        <w:tc>
          <w:tcPr>
            <w:tcW w:w="1522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6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eastAsia="zh-CN"/>
              </w:rPr>
              <w:t>推荐校级立项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38" w:type="dxa"/>
            <w:gridSpan w:val="2"/>
            <w:vMerge w:val="continue"/>
            <w:tcBorders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6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2550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6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  <w:t>高级英语测试（考研）</w:t>
            </w:r>
          </w:p>
        </w:tc>
        <w:tc>
          <w:tcPr>
            <w:tcW w:w="1221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6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eastAsia="zh-CN"/>
              </w:rPr>
              <w:t>立项建设</w:t>
            </w:r>
          </w:p>
        </w:tc>
        <w:tc>
          <w:tcPr>
            <w:tcW w:w="1811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6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  <w:t>2023年春季学期</w:t>
            </w:r>
          </w:p>
        </w:tc>
        <w:tc>
          <w:tcPr>
            <w:tcW w:w="1522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6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eastAsia="zh-CN"/>
              </w:rPr>
              <w:t>推荐校级立项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36" w:lineRule="auto"/>
        <w:ind w:firstLine="420" w:firstLineChars="0"/>
        <w:jc w:val="both"/>
        <w:textAlignment w:val="auto"/>
        <w:rPr>
          <w:rFonts w:hint="eastAsia" w:ascii="宋体" w:hAnsi="宋体"/>
          <w:b/>
          <w:bCs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/>
          <w:b/>
          <w:bCs/>
          <w:sz w:val="21"/>
          <w:szCs w:val="21"/>
          <w:highlight w:val="none"/>
          <w:lang w:val="en-US" w:eastAsia="zh-CN"/>
        </w:rPr>
        <w:t>说明：</w:t>
      </w:r>
    </w:p>
    <w:p>
      <w:pPr>
        <w:keepNext w:val="0"/>
        <w:keepLines w:val="0"/>
        <w:pageBreakBefore w:val="0"/>
        <w:widowControl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36" w:lineRule="auto"/>
        <w:ind w:firstLine="420" w:firstLineChars="0"/>
        <w:jc w:val="both"/>
        <w:textAlignment w:val="auto"/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大学英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语3、大学英语4须建成线上线下混合式课程；</w:t>
      </w:r>
    </w:p>
    <w:p>
      <w:pPr>
        <w:keepNext w:val="0"/>
        <w:keepLines w:val="0"/>
        <w:pageBreakBefore w:val="0"/>
        <w:widowControl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36" w:lineRule="auto"/>
        <w:ind w:left="0" w:leftChars="0" w:firstLine="420" w:firstLineChars="0"/>
        <w:jc w:val="both"/>
        <w:textAlignment w:val="auto"/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标注“推荐校级立项”为本次推荐课程，获得校级立项后，由学校和学院共同资助；</w:t>
      </w:r>
    </w:p>
    <w:p>
      <w:pPr>
        <w:keepNext w:val="0"/>
        <w:keepLines w:val="0"/>
        <w:pageBreakBefore w:val="0"/>
        <w:widowControl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36" w:lineRule="auto"/>
        <w:ind w:left="0" w:leftChars="0" w:firstLine="420" w:firstLineChars="0"/>
        <w:jc w:val="both"/>
        <w:textAlignment w:val="auto"/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其余课程择机推荐校级立项（区一流课程除外）；</w:t>
      </w:r>
    </w:p>
    <w:p>
      <w:pPr>
        <w:keepNext w:val="0"/>
        <w:keepLines w:val="0"/>
        <w:pageBreakBefore w:val="0"/>
        <w:widowControl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36" w:lineRule="auto"/>
        <w:ind w:left="0" w:leftChars="0" w:firstLine="420" w:firstLineChars="0"/>
        <w:jc w:val="both"/>
        <w:textAlignment w:val="auto"/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提高阶段课程，标注“拟”的可参考以上课程名称，也可自拟课程名称进行申报，由学院择优立项建设；</w:t>
      </w:r>
    </w:p>
    <w:p>
      <w:pPr>
        <w:keepNext w:val="0"/>
        <w:keepLines w:val="0"/>
        <w:pageBreakBefore w:val="0"/>
        <w:widowControl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36" w:lineRule="auto"/>
        <w:ind w:left="0" w:leftChars="0" w:firstLine="420" w:firstLineChars="0"/>
        <w:jc w:val="both"/>
        <w:textAlignment w:val="auto"/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课程负责人限报1个项目；大学英语3、大学英语4项目组成员不少于5人，其余课程项目组成员一般不少于3人；每位教师参加项目不得超过2项。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36" w:lineRule="auto"/>
        <w:ind w:left="420" w:leftChars="0"/>
        <w:jc w:val="both"/>
        <w:textAlignment w:val="auto"/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36" w:lineRule="auto"/>
        <w:ind w:firstLine="482" w:firstLineChars="200"/>
        <w:textAlignment w:val="auto"/>
        <w:rPr>
          <w:b/>
          <w:bCs/>
          <w:sz w:val="24"/>
          <w:szCs w:val="24"/>
          <w:highlight w:val="none"/>
        </w:rPr>
      </w:pPr>
      <w:r>
        <w:rPr>
          <w:rFonts w:hint="eastAsia"/>
          <w:b/>
          <w:bCs/>
          <w:sz w:val="24"/>
          <w:szCs w:val="24"/>
          <w:highlight w:val="none"/>
          <w:lang w:eastAsia="zh-CN"/>
        </w:rPr>
        <w:t>四、</w:t>
      </w:r>
      <w:r>
        <w:rPr>
          <w:rFonts w:hint="eastAsia"/>
          <w:b/>
          <w:bCs/>
          <w:sz w:val="24"/>
          <w:szCs w:val="24"/>
          <w:highlight w:val="none"/>
        </w:rPr>
        <w:t>建设周期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36" w:lineRule="auto"/>
        <w:ind w:firstLine="480" w:firstLineChars="200"/>
        <w:textAlignment w:val="auto"/>
        <w:rPr>
          <w:rFonts w:hint="eastAsia"/>
          <w:sz w:val="24"/>
          <w:szCs w:val="24"/>
          <w:highlight w:val="none"/>
          <w:lang w:val="en-US" w:eastAsia="zh-CN"/>
        </w:rPr>
      </w:pPr>
      <w:r>
        <w:rPr>
          <w:rFonts w:hint="eastAsia"/>
          <w:sz w:val="24"/>
          <w:szCs w:val="24"/>
          <w:highlight w:val="none"/>
        </w:rPr>
        <w:t>本次立项周期为</w:t>
      </w:r>
      <w:r>
        <w:rPr>
          <w:rFonts w:hint="eastAsia"/>
          <w:sz w:val="24"/>
          <w:szCs w:val="24"/>
          <w:highlight w:val="none"/>
          <w:lang w:val="en-US" w:eastAsia="zh-CN"/>
        </w:rPr>
        <w:t>2</w:t>
      </w:r>
      <w:r>
        <w:rPr>
          <w:rFonts w:hint="eastAsia"/>
          <w:sz w:val="24"/>
          <w:szCs w:val="24"/>
          <w:highlight w:val="none"/>
        </w:rPr>
        <w:t>年</w:t>
      </w:r>
      <w:r>
        <w:rPr>
          <w:rFonts w:hint="eastAsia"/>
          <w:sz w:val="24"/>
          <w:szCs w:val="24"/>
          <w:highlight w:val="none"/>
          <w:lang w:eastAsia="zh-CN"/>
        </w:rPr>
        <w:t>，建设周期内必须开课</w:t>
      </w:r>
      <w:r>
        <w:rPr>
          <w:rFonts w:hint="eastAsia"/>
          <w:sz w:val="24"/>
          <w:szCs w:val="24"/>
          <w:highlight w:val="none"/>
          <w:lang w:val="en-US" w:eastAsia="zh-CN"/>
        </w:rPr>
        <w:t>1-2次。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36" w:lineRule="auto"/>
        <w:ind w:firstLine="420"/>
        <w:textAlignment w:val="auto"/>
        <w:rPr>
          <w:b/>
          <w:bCs/>
          <w:sz w:val="24"/>
          <w:szCs w:val="24"/>
          <w:highlight w:val="none"/>
        </w:rPr>
      </w:pPr>
      <w:r>
        <w:rPr>
          <w:rFonts w:hint="eastAsia"/>
          <w:b/>
          <w:bCs/>
          <w:sz w:val="24"/>
          <w:szCs w:val="24"/>
          <w:highlight w:val="none"/>
          <w:lang w:eastAsia="zh-CN"/>
        </w:rPr>
        <w:t>五</w:t>
      </w:r>
      <w:r>
        <w:rPr>
          <w:rFonts w:hint="eastAsia"/>
          <w:b/>
          <w:bCs/>
          <w:sz w:val="24"/>
          <w:szCs w:val="24"/>
          <w:highlight w:val="none"/>
        </w:rPr>
        <w:t>、</w:t>
      </w:r>
      <w:r>
        <w:rPr>
          <w:rFonts w:hint="eastAsia"/>
          <w:b/>
          <w:bCs/>
          <w:sz w:val="24"/>
          <w:szCs w:val="24"/>
          <w:highlight w:val="none"/>
          <w:lang w:eastAsia="zh-CN"/>
        </w:rPr>
        <w:t>建设</w:t>
      </w:r>
      <w:r>
        <w:rPr>
          <w:rFonts w:hint="eastAsia"/>
          <w:b/>
          <w:bCs/>
          <w:sz w:val="24"/>
          <w:szCs w:val="24"/>
          <w:highlight w:val="none"/>
        </w:rPr>
        <w:t>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36" w:lineRule="auto"/>
        <w:ind w:firstLine="420"/>
        <w:textAlignment w:val="auto"/>
        <w:rPr>
          <w:rFonts w:hint="eastAsia" w:ascii="宋体" w:hAnsi="宋体" w:eastAsia="宋体" w:cs="宋体"/>
          <w:sz w:val="24"/>
          <w:szCs w:val="24"/>
          <w:highlight w:val="none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1.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贯彻OBE理念</w:t>
      </w:r>
      <w:r>
        <w:rPr>
          <w:rFonts w:hint="eastAsia" w:ascii="宋体" w:hAnsi="宋体" w:eastAsia="宋体" w:cs="宋体"/>
          <w:sz w:val="24"/>
          <w:szCs w:val="24"/>
          <w:highlight w:val="none"/>
          <w:lang w:eastAsia="zh-CN"/>
        </w:rPr>
        <w:t>：有效支撑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各专业毕业要求的达成和课程教学目标的达成</w:t>
      </w:r>
      <w:r>
        <w:rPr>
          <w:rFonts w:hint="eastAsia" w:ascii="宋体" w:hAnsi="宋体" w:eastAsia="宋体" w:cs="宋体"/>
          <w:sz w:val="24"/>
          <w:szCs w:val="24"/>
          <w:highlight w:val="none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36" w:lineRule="auto"/>
        <w:ind w:firstLine="420"/>
        <w:textAlignment w:val="auto"/>
        <w:rPr>
          <w:rFonts w:hint="eastAsia" w:ascii="宋体" w:hAnsi="宋体" w:eastAsia="宋体" w:cs="宋体"/>
          <w:sz w:val="24"/>
          <w:szCs w:val="24"/>
          <w:highlight w:val="none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2.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4"/>
          <w:szCs w:val="24"/>
          <w:highlight w:val="none"/>
          <w:lang w:eastAsia="zh-CN"/>
        </w:rPr>
        <w:t>建设一套教学文件：包括教学大纲、教案、习题库、案例库等，需贯彻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思想价值引领</w:t>
      </w:r>
      <w:r>
        <w:rPr>
          <w:rFonts w:hint="eastAsia" w:ascii="宋体" w:hAnsi="宋体" w:eastAsia="宋体" w:cs="宋体"/>
          <w:sz w:val="24"/>
          <w:szCs w:val="24"/>
          <w:highlight w:val="none"/>
          <w:lang w:eastAsia="zh-CN"/>
        </w:rPr>
        <w:t>，覆盖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教育教学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改革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全过程</w:t>
      </w:r>
      <w:r>
        <w:rPr>
          <w:rFonts w:hint="eastAsia" w:ascii="宋体" w:hAnsi="宋体" w:eastAsia="宋体" w:cs="宋体"/>
          <w:sz w:val="24"/>
          <w:szCs w:val="24"/>
          <w:highlight w:val="none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36" w:lineRule="auto"/>
        <w:ind w:firstLine="420"/>
        <w:textAlignment w:val="auto"/>
        <w:rPr>
          <w:rFonts w:hint="eastAsia" w:ascii="宋体" w:hAnsi="宋体" w:eastAsia="宋体" w:cs="宋体"/>
          <w:sz w:val="24"/>
          <w:szCs w:val="24"/>
          <w:highlight w:val="none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 xml:space="preserve">3. </w:t>
      </w:r>
      <w:r>
        <w:rPr>
          <w:rFonts w:hint="eastAsia" w:ascii="宋体" w:hAnsi="宋体" w:eastAsia="宋体" w:cs="宋体"/>
          <w:sz w:val="24"/>
          <w:szCs w:val="24"/>
          <w:highlight w:val="none"/>
          <w:lang w:eastAsia="zh-CN"/>
        </w:rPr>
        <w:t>开设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示范课</w:t>
      </w:r>
      <w:r>
        <w:rPr>
          <w:rFonts w:hint="eastAsia" w:ascii="宋体" w:hAnsi="宋体" w:eastAsia="宋体" w:cs="宋体"/>
          <w:sz w:val="24"/>
          <w:szCs w:val="24"/>
          <w:highlight w:val="none"/>
          <w:lang w:eastAsia="zh-CN"/>
        </w:rPr>
        <w:t>：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建设期间</w:t>
      </w:r>
      <w:r>
        <w:rPr>
          <w:rFonts w:hint="eastAsia" w:ascii="宋体" w:hAnsi="宋体" w:eastAsia="宋体" w:cs="宋体"/>
          <w:sz w:val="24"/>
          <w:szCs w:val="24"/>
          <w:highlight w:val="none"/>
          <w:lang w:eastAsia="zh-CN"/>
        </w:rPr>
        <w:t>开设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教学示范课2次</w:t>
      </w:r>
      <w:r>
        <w:rPr>
          <w:rFonts w:hint="eastAsia" w:ascii="宋体" w:hAnsi="宋体" w:eastAsia="宋体" w:cs="宋体"/>
          <w:sz w:val="24"/>
          <w:szCs w:val="24"/>
          <w:highlight w:val="none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36" w:lineRule="auto"/>
        <w:ind w:firstLine="420"/>
        <w:textAlignment w:val="auto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4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.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4"/>
          <w:szCs w:val="24"/>
          <w:highlight w:val="none"/>
          <w:lang w:eastAsia="zh-CN"/>
        </w:rPr>
        <w:t>发表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教改论文</w:t>
      </w:r>
      <w:r>
        <w:rPr>
          <w:rFonts w:hint="eastAsia" w:ascii="宋体" w:hAnsi="宋体" w:eastAsia="宋体" w:cs="宋体"/>
          <w:sz w:val="24"/>
          <w:szCs w:val="24"/>
          <w:highlight w:val="none"/>
          <w:lang w:eastAsia="zh-CN"/>
        </w:rPr>
        <w:t>：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建设期间</w:t>
      </w:r>
      <w:r>
        <w:rPr>
          <w:rFonts w:hint="eastAsia" w:ascii="宋体" w:hAnsi="宋体" w:eastAsia="宋体" w:cs="宋体"/>
          <w:sz w:val="24"/>
          <w:szCs w:val="24"/>
          <w:highlight w:val="none"/>
          <w:lang w:eastAsia="zh-CN"/>
        </w:rPr>
        <w:t>发表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教改论文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1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36" w:lineRule="auto"/>
        <w:ind w:firstLine="420"/>
        <w:textAlignment w:val="auto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5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.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 xml:space="preserve"> 申报项目</w:t>
      </w:r>
      <w:r>
        <w:rPr>
          <w:rFonts w:hint="eastAsia" w:ascii="宋体" w:hAnsi="宋体" w:eastAsia="宋体" w:cs="宋体"/>
          <w:sz w:val="24"/>
          <w:szCs w:val="24"/>
          <w:highlight w:val="none"/>
          <w:lang w:eastAsia="zh-CN"/>
        </w:rPr>
        <w:t>：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建设期间申报校级及以上的教改</w:t>
      </w:r>
      <w:r>
        <w:rPr>
          <w:rFonts w:hint="eastAsia" w:ascii="宋体" w:hAnsi="宋体" w:eastAsia="宋体" w:cs="宋体"/>
          <w:sz w:val="24"/>
          <w:szCs w:val="24"/>
          <w:highlight w:val="none"/>
          <w:lang w:eastAsia="zh-CN"/>
        </w:rPr>
        <w:t>类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课题。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36" w:lineRule="auto"/>
        <w:ind w:firstLine="420"/>
        <w:textAlignment w:val="auto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6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.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 xml:space="preserve"> 参加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比赛</w:t>
      </w:r>
      <w:r>
        <w:rPr>
          <w:rFonts w:hint="eastAsia" w:ascii="宋体" w:hAnsi="宋体" w:eastAsia="宋体" w:cs="宋体"/>
          <w:sz w:val="24"/>
          <w:szCs w:val="24"/>
          <w:highlight w:val="none"/>
          <w:lang w:eastAsia="zh-CN"/>
        </w:rPr>
        <w:t>：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建设期间参加校级及以上的教学比赛1次。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36" w:lineRule="auto"/>
        <w:ind w:firstLine="420" w:firstLineChars="0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 xml:space="preserve">7. 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获得校级及以上立项的，除符合本通知建设要求外，还应符合学校相关建设要求。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36" w:lineRule="auto"/>
        <w:ind w:firstLine="420"/>
        <w:textAlignment w:val="auto"/>
        <w:rPr>
          <w:rFonts w:hint="eastAsia"/>
          <w:b/>
          <w:bCs/>
          <w:sz w:val="24"/>
          <w:szCs w:val="24"/>
          <w:highlight w:val="none"/>
        </w:rPr>
      </w:pPr>
      <w:r>
        <w:rPr>
          <w:rFonts w:hint="eastAsia"/>
          <w:b/>
          <w:bCs/>
          <w:sz w:val="24"/>
          <w:szCs w:val="24"/>
          <w:highlight w:val="none"/>
          <w:lang w:eastAsia="zh-CN"/>
        </w:rPr>
        <w:t>六</w:t>
      </w:r>
      <w:r>
        <w:rPr>
          <w:rFonts w:hint="eastAsia"/>
          <w:b/>
          <w:bCs/>
          <w:sz w:val="24"/>
          <w:szCs w:val="24"/>
          <w:highlight w:val="none"/>
        </w:rPr>
        <w:t>、经费支持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36" w:lineRule="auto"/>
        <w:ind w:firstLine="420"/>
        <w:textAlignment w:val="auto"/>
        <w:rPr>
          <w:rFonts w:hint="eastAsia" w:ascii="宋体" w:hAnsi="宋体" w:eastAsia="宋体" w:cs="宋体"/>
          <w:sz w:val="24"/>
          <w:szCs w:val="24"/>
          <w:highlight w:val="none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1. 大学英语3、大学英语4：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每门课程资助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10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万元建设经费</w:t>
      </w:r>
      <w:r>
        <w:rPr>
          <w:rFonts w:hint="eastAsia" w:ascii="宋体" w:hAnsi="宋体" w:eastAsia="宋体" w:cs="宋体"/>
          <w:sz w:val="24"/>
          <w:szCs w:val="24"/>
          <w:highlight w:val="none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36" w:lineRule="auto"/>
        <w:ind w:firstLine="420"/>
        <w:textAlignment w:val="auto"/>
        <w:rPr>
          <w:rFonts w:hint="default" w:ascii="宋体" w:hAnsi="宋体" w:eastAsia="宋体" w:cs="宋体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2. 实用辅导类：每门课程资助2万元经费（含大学英语测试1、大学英语测试2、高级英语测试等3门课程）；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36" w:lineRule="auto"/>
        <w:ind w:firstLine="420"/>
        <w:textAlignment w:val="auto"/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3. 持续建设类：每门资助2万元经费（含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大学英语1</w:t>
      </w:r>
      <w:r>
        <w:rPr>
          <w:rFonts w:hint="eastAsia" w:ascii="宋体" w:hAnsi="宋体" w:eastAsia="宋体" w:cs="宋体"/>
          <w:sz w:val="24"/>
          <w:szCs w:val="24"/>
          <w:highlight w:val="none"/>
          <w:lang w:eastAsia="zh-CN"/>
        </w:rPr>
        <w:t>、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大学英语2</w:t>
      </w:r>
      <w:r>
        <w:rPr>
          <w:rFonts w:hint="eastAsia" w:ascii="宋体" w:hAnsi="宋体" w:eastAsia="宋体" w:cs="宋体"/>
          <w:sz w:val="24"/>
          <w:szCs w:val="24"/>
          <w:highlight w:val="none"/>
          <w:lang w:eastAsia="zh-CN"/>
        </w:rPr>
        <w:t>、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跨文化交际、职场英语、国际工程管理英文写作等5门课程）；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36" w:lineRule="auto"/>
        <w:ind w:firstLine="420"/>
        <w:textAlignment w:val="auto"/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4. 其余立项建设类：每门资助1万元建设启动经费；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36" w:lineRule="auto"/>
        <w:ind w:firstLine="420"/>
        <w:textAlignment w:val="auto"/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5. 获得校级立项课程由学校和学院共同资助，其余课程由学院资助；</w:t>
      </w:r>
    </w:p>
    <w:p>
      <w:pPr>
        <w:keepNext w:val="0"/>
        <w:keepLines w:val="0"/>
        <w:pageBreakBefore w:val="0"/>
        <w:widowControl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36" w:lineRule="auto"/>
        <w:ind w:left="0" w:leftChars="0" w:firstLine="420" w:firstLineChars="0"/>
        <w:textAlignment w:val="auto"/>
        <w:rPr>
          <w:rFonts w:hint="eastAsia" w:ascii="宋体" w:hAnsi="宋体" w:eastAsia="宋体" w:cs="宋体"/>
          <w:sz w:val="24"/>
          <w:szCs w:val="24"/>
          <w:highlight w:val="none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highlight w:val="none"/>
          <w:lang w:eastAsia="zh-CN"/>
        </w:rPr>
        <w:t>做好年度经费使用计划，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经费</w:t>
      </w:r>
      <w:r>
        <w:rPr>
          <w:rFonts w:hint="eastAsia" w:ascii="宋体" w:hAnsi="宋体" w:eastAsia="宋体" w:cs="宋体"/>
          <w:sz w:val="24"/>
          <w:szCs w:val="24"/>
          <w:highlight w:val="none"/>
          <w:lang w:eastAsia="zh-CN"/>
        </w:rPr>
        <w:t>使用应符合学校相关经费管理规定，可用于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论文发表、</w:t>
      </w:r>
      <w:r>
        <w:rPr>
          <w:rFonts w:hint="eastAsia" w:ascii="宋体" w:hAnsi="宋体" w:eastAsia="宋体" w:cs="宋体"/>
          <w:sz w:val="24"/>
          <w:szCs w:val="24"/>
          <w:highlight w:val="none"/>
          <w:lang w:eastAsia="zh-CN"/>
        </w:rPr>
        <w:t>课程制作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、</w:t>
      </w:r>
      <w:r>
        <w:rPr>
          <w:rFonts w:hint="eastAsia" w:ascii="宋体" w:hAnsi="宋体" w:eastAsia="宋体" w:cs="宋体"/>
          <w:sz w:val="24"/>
          <w:szCs w:val="24"/>
          <w:highlight w:val="none"/>
          <w:lang w:eastAsia="zh-CN"/>
        </w:rPr>
        <w:t>数据采集、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外出培训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交流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等</w:t>
      </w:r>
      <w:r>
        <w:rPr>
          <w:rFonts w:hint="eastAsia" w:ascii="宋体" w:hAnsi="宋体" w:eastAsia="宋体" w:cs="宋体"/>
          <w:sz w:val="24"/>
          <w:szCs w:val="24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36" w:lineRule="auto"/>
        <w:ind w:firstLine="420"/>
        <w:textAlignment w:val="auto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highlight w:val="none"/>
          <w:lang w:eastAsia="zh-CN"/>
        </w:rPr>
        <w:t>七、</w:t>
      </w:r>
      <w:r>
        <w:rPr>
          <w:rFonts w:hint="eastAsia" w:ascii="宋体" w:hAnsi="宋体" w:eastAsia="宋体" w:cs="宋体"/>
          <w:b/>
          <w:bCs/>
          <w:sz w:val="24"/>
          <w:szCs w:val="24"/>
          <w:highlight w:val="none"/>
        </w:rPr>
        <w:t>项目管理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36" w:lineRule="auto"/>
        <w:ind w:firstLine="420" w:firstLineChars="0"/>
        <w:textAlignment w:val="auto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 xml:space="preserve">1. 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组织开展指导工作</w:t>
      </w:r>
      <w:r>
        <w:rPr>
          <w:rFonts w:hint="eastAsia" w:ascii="宋体" w:hAnsi="宋体" w:eastAsia="宋体" w:cs="宋体"/>
          <w:sz w:val="24"/>
          <w:szCs w:val="24"/>
          <w:highlight w:val="none"/>
          <w:lang w:eastAsia="zh-CN"/>
        </w:rPr>
        <w:t>，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不定期开展</w:t>
      </w:r>
      <w:r>
        <w:rPr>
          <w:rFonts w:hint="eastAsia" w:ascii="宋体" w:hAnsi="宋体" w:eastAsia="宋体" w:cs="宋体"/>
          <w:sz w:val="24"/>
          <w:szCs w:val="24"/>
          <w:highlight w:val="none"/>
          <w:lang w:eastAsia="zh-CN"/>
        </w:rPr>
        <w:t>听课评课、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调研座谈、</w:t>
      </w:r>
      <w:r>
        <w:rPr>
          <w:rFonts w:hint="eastAsia" w:ascii="宋体" w:hAnsi="宋体" w:eastAsia="宋体" w:cs="宋体"/>
          <w:sz w:val="24"/>
          <w:szCs w:val="24"/>
          <w:highlight w:val="none"/>
          <w:lang w:eastAsia="zh-CN"/>
        </w:rPr>
        <w:t>集体学习等工作；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36" w:lineRule="auto"/>
        <w:ind w:firstLine="420" w:firstLineChars="0"/>
        <w:textAlignment w:val="auto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 xml:space="preserve">2. </w:t>
      </w:r>
      <w:r>
        <w:rPr>
          <w:rFonts w:hint="eastAsia" w:ascii="宋体" w:hAnsi="宋体" w:eastAsia="宋体" w:cs="宋体"/>
          <w:sz w:val="24"/>
          <w:szCs w:val="24"/>
          <w:highlight w:val="none"/>
          <w:lang w:eastAsia="zh-CN"/>
        </w:rPr>
        <w:t>组织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项目</w:t>
      </w:r>
      <w:r>
        <w:rPr>
          <w:rFonts w:hint="eastAsia" w:ascii="宋体" w:hAnsi="宋体" w:eastAsia="宋体" w:cs="宋体"/>
          <w:sz w:val="24"/>
          <w:szCs w:val="24"/>
          <w:highlight w:val="none"/>
          <w:lang w:eastAsia="zh-CN"/>
        </w:rPr>
        <w:t>中期检查，督促按期完成建设任务；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36" w:lineRule="auto"/>
        <w:ind w:firstLine="420" w:firstLineChars="0"/>
        <w:textAlignment w:val="auto"/>
        <w:rPr>
          <w:rFonts w:hint="eastAsia" w:ascii="宋体" w:hAnsi="宋体" w:eastAsia="宋体" w:cs="宋体"/>
          <w:sz w:val="24"/>
          <w:szCs w:val="24"/>
          <w:highlight w:val="none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 xml:space="preserve">3. 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组织验收审核</w:t>
      </w:r>
      <w:r>
        <w:rPr>
          <w:rFonts w:hint="eastAsia" w:ascii="宋体" w:hAnsi="宋体" w:eastAsia="宋体" w:cs="宋体"/>
          <w:sz w:val="24"/>
          <w:szCs w:val="24"/>
          <w:highlight w:val="none"/>
          <w:lang w:eastAsia="zh-CN"/>
        </w:rPr>
        <w:t>。验收等级分为“优秀”、“合格”、“不合格”。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对于验收等级为“优秀”的颁发院级一流本科课程证书；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对于建设成果突出、改革效果好的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项目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，将组织推广交流活动，视需要追加经费支持后续改革建设。对于“不合格”的将视情况追回部分或全部经费</w:t>
      </w:r>
      <w:r>
        <w:rPr>
          <w:rFonts w:hint="eastAsia" w:ascii="宋体" w:hAnsi="宋体" w:eastAsia="宋体" w:cs="宋体"/>
          <w:sz w:val="24"/>
          <w:szCs w:val="24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36" w:lineRule="auto"/>
        <w:textAlignment w:val="auto"/>
        <w:rPr>
          <w:rFonts w:hint="eastAsia"/>
          <w:sz w:val="24"/>
          <w:szCs w:val="24"/>
          <w:highlight w:val="none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36" w:lineRule="auto"/>
        <w:ind w:firstLine="420"/>
        <w:jc w:val="right"/>
        <w:textAlignment w:val="auto"/>
        <w:rPr>
          <w:rFonts w:hint="eastAsia"/>
          <w:sz w:val="24"/>
          <w:szCs w:val="24"/>
          <w:highlight w:val="none"/>
          <w:lang w:val="en-US" w:eastAsia="zh-CN"/>
        </w:rPr>
      </w:pPr>
      <w:r>
        <w:rPr>
          <w:rFonts w:hint="eastAsia"/>
          <w:sz w:val="24"/>
          <w:szCs w:val="24"/>
          <w:highlight w:val="none"/>
          <w:lang w:val="en-US" w:eastAsia="zh-CN"/>
        </w:rPr>
        <w:t xml:space="preserve">   外国语学院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36" w:lineRule="auto"/>
        <w:ind w:firstLine="420"/>
        <w:jc w:val="right"/>
        <w:textAlignment w:val="auto"/>
        <w:rPr>
          <w:rFonts w:hint="eastAsia"/>
          <w:highlight w:val="none"/>
          <w:lang w:val="en-US" w:eastAsia="zh-CN"/>
        </w:rPr>
      </w:pPr>
      <w:r>
        <w:rPr>
          <w:rFonts w:hint="eastAsia"/>
          <w:sz w:val="24"/>
          <w:szCs w:val="24"/>
          <w:highlight w:val="none"/>
          <w:lang w:val="en-US" w:eastAsia="zh-CN"/>
        </w:rPr>
        <w:t xml:space="preserve">                                    2022年10月10日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B7B93A7"/>
    <w:multiLevelType w:val="singleLevel"/>
    <w:tmpl w:val="AB7B93A7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C178B937"/>
    <w:multiLevelType w:val="singleLevel"/>
    <w:tmpl w:val="C178B937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F8DCE1EC"/>
    <w:multiLevelType w:val="singleLevel"/>
    <w:tmpl w:val="F8DCE1EC"/>
    <w:lvl w:ilvl="0" w:tentative="0">
      <w:start w:val="1"/>
      <w:numFmt w:val="decimal"/>
      <w:suff w:val="space"/>
      <w:lvlText w:val="%1."/>
      <w:lvlJc w:val="left"/>
    </w:lvl>
  </w:abstractNum>
  <w:abstractNum w:abstractNumId="3">
    <w:nsid w:val="04E1A949"/>
    <w:multiLevelType w:val="singleLevel"/>
    <w:tmpl w:val="04E1A949"/>
    <w:lvl w:ilvl="0" w:tentative="0">
      <w:start w:val="1"/>
      <w:numFmt w:val="decimal"/>
      <w:suff w:val="space"/>
      <w:lvlText w:val="%1."/>
      <w:lvlJc w:val="left"/>
    </w:lvl>
  </w:abstractNum>
  <w:abstractNum w:abstractNumId="4">
    <w:nsid w:val="2564BC24"/>
    <w:multiLevelType w:val="singleLevel"/>
    <w:tmpl w:val="2564BC24"/>
    <w:lvl w:ilvl="0" w:tentative="0">
      <w:start w:val="1"/>
      <w:numFmt w:val="decimal"/>
      <w:suff w:val="nothing"/>
      <w:lvlText w:val="（%1）"/>
      <w:lvlJc w:val="left"/>
    </w:lvl>
  </w:abstractNum>
  <w:abstractNum w:abstractNumId="5">
    <w:nsid w:val="4FFB5213"/>
    <w:multiLevelType w:val="singleLevel"/>
    <w:tmpl w:val="4FFB5213"/>
    <w:lvl w:ilvl="0" w:tentative="0">
      <w:start w:val="1"/>
      <w:numFmt w:val="decimal"/>
      <w:suff w:val="nothing"/>
      <w:lvlText w:val="（%1）"/>
      <w:lvlJc w:val="left"/>
    </w:lvl>
  </w:abstractNum>
  <w:abstractNum w:abstractNumId="6">
    <w:nsid w:val="5318DC4C"/>
    <w:multiLevelType w:val="singleLevel"/>
    <w:tmpl w:val="5318DC4C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5"/>
  </w:num>
  <w:num w:numId="5">
    <w:abstractNumId w:val="4"/>
  </w:num>
  <w:num w:numId="6">
    <w:abstractNumId w:val="6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NlODcxZTE1YzlkODg2MDY1MTBmY2NhOGEzZTA1OGIifQ=="/>
  </w:docVars>
  <w:rsids>
    <w:rsidRoot w:val="00000000"/>
    <w:rsid w:val="00D9012D"/>
    <w:rsid w:val="01E11E25"/>
    <w:rsid w:val="01F82835"/>
    <w:rsid w:val="031E50A9"/>
    <w:rsid w:val="07155C37"/>
    <w:rsid w:val="0A5A7E7F"/>
    <w:rsid w:val="0C5C3AE2"/>
    <w:rsid w:val="0DEE2D3E"/>
    <w:rsid w:val="0E601339"/>
    <w:rsid w:val="10142F30"/>
    <w:rsid w:val="12CB32DA"/>
    <w:rsid w:val="15A7188C"/>
    <w:rsid w:val="16794BFF"/>
    <w:rsid w:val="188C224A"/>
    <w:rsid w:val="191775ED"/>
    <w:rsid w:val="199450E1"/>
    <w:rsid w:val="19BE160E"/>
    <w:rsid w:val="1FC25111"/>
    <w:rsid w:val="21042B4C"/>
    <w:rsid w:val="21B806E3"/>
    <w:rsid w:val="22CA56D0"/>
    <w:rsid w:val="25D37A70"/>
    <w:rsid w:val="26602328"/>
    <w:rsid w:val="26900038"/>
    <w:rsid w:val="28AE43A3"/>
    <w:rsid w:val="2BFF63EA"/>
    <w:rsid w:val="2C662880"/>
    <w:rsid w:val="345D2848"/>
    <w:rsid w:val="3AEC4F5C"/>
    <w:rsid w:val="3B2F65C0"/>
    <w:rsid w:val="3B75497F"/>
    <w:rsid w:val="3C137C90"/>
    <w:rsid w:val="3C4D6355"/>
    <w:rsid w:val="3CE32690"/>
    <w:rsid w:val="3D0728A8"/>
    <w:rsid w:val="3E3068D7"/>
    <w:rsid w:val="3E570308"/>
    <w:rsid w:val="3F9366BA"/>
    <w:rsid w:val="3FFC28D6"/>
    <w:rsid w:val="40990EB1"/>
    <w:rsid w:val="42B447FB"/>
    <w:rsid w:val="442E38B9"/>
    <w:rsid w:val="48B97DF2"/>
    <w:rsid w:val="4C0123DD"/>
    <w:rsid w:val="4D7B0204"/>
    <w:rsid w:val="4DD31850"/>
    <w:rsid w:val="4EEB3CD0"/>
    <w:rsid w:val="52771506"/>
    <w:rsid w:val="53AD7BDA"/>
    <w:rsid w:val="54D67D81"/>
    <w:rsid w:val="57F71D28"/>
    <w:rsid w:val="596D4C8E"/>
    <w:rsid w:val="5A281346"/>
    <w:rsid w:val="5C58551F"/>
    <w:rsid w:val="5CE4447B"/>
    <w:rsid w:val="5DE91CE7"/>
    <w:rsid w:val="61720B35"/>
    <w:rsid w:val="6546685C"/>
    <w:rsid w:val="67314C73"/>
    <w:rsid w:val="69A62E8B"/>
    <w:rsid w:val="6AEF2AEE"/>
    <w:rsid w:val="6B547644"/>
    <w:rsid w:val="6FA37957"/>
    <w:rsid w:val="70744BA6"/>
    <w:rsid w:val="708F6BDE"/>
    <w:rsid w:val="71754468"/>
    <w:rsid w:val="75091CC9"/>
    <w:rsid w:val="76636200"/>
    <w:rsid w:val="76D23BCB"/>
    <w:rsid w:val="797D43BF"/>
    <w:rsid w:val="7F1B2C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5">
    <w:name w:val="List Paragraph"/>
    <w:basedOn w:val="1"/>
    <w:qFormat/>
    <w:uiPriority w:val="34"/>
    <w:pPr>
      <w:ind w:firstLine="4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1957</Words>
  <Characters>2019</Characters>
  <Lines>0</Lines>
  <Paragraphs>0</Paragraphs>
  <TotalTime>4</TotalTime>
  <ScaleCrop>false</ScaleCrop>
  <LinksUpToDate>false</LinksUpToDate>
  <CharactersWithSpaces>2079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2022-09-13T04:27:00Z</dcterms:created>
  <dc:creator>Administrator</dc:creator>
  <cp:lastModifiedBy>Administrator</cp:lastModifiedBy>
  <dcterms:modified xsi:type="dcterms:W3CDTF">2022-10-10T03:44:52Z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A010F4E459244C57A717E1FB83DD15D5</vt:lpwstr>
  </property>
</Properties>
</file>